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290" w:rsidRDefault="002B7290" w:rsidP="002B7290">
      <w:pPr>
        <w:rPr>
          <w:b/>
          <w:sz w:val="44"/>
          <w:szCs w:val="44"/>
        </w:rPr>
      </w:pPr>
      <w:r>
        <w:rPr>
          <w:rFonts w:hint="eastAsia"/>
          <w:b/>
          <w:sz w:val="44"/>
          <w:szCs w:val="44"/>
        </w:rPr>
        <w:t>深圳市药品检验研究院环保信息资料</w:t>
      </w:r>
    </w:p>
    <w:p w:rsidR="002B7290" w:rsidRDefault="002B7290" w:rsidP="002B7290">
      <w:pPr>
        <w:rPr>
          <w:rFonts w:ascii="仿宋" w:eastAsia="仿宋" w:hAnsi="仿宋"/>
          <w:color w:val="FF0000"/>
          <w:sz w:val="28"/>
          <w:szCs w:val="28"/>
        </w:rPr>
      </w:pPr>
      <w:r>
        <w:rPr>
          <w:rFonts w:hint="eastAsia"/>
          <w:color w:val="FF0000"/>
          <w:sz w:val="32"/>
          <w:szCs w:val="32"/>
        </w:rPr>
        <w:t>（</w:t>
      </w:r>
      <w:r>
        <w:rPr>
          <w:rFonts w:ascii="仿宋" w:eastAsia="仿宋" w:hAnsi="仿宋" w:hint="eastAsia"/>
          <w:color w:val="FF0000"/>
          <w:sz w:val="28"/>
          <w:szCs w:val="28"/>
        </w:rPr>
        <w:t>一）基础信息</w:t>
      </w:r>
    </w:p>
    <w:p w:rsidR="002B7290" w:rsidRDefault="002B7290" w:rsidP="002B7290">
      <w:pPr>
        <w:rPr>
          <w:rFonts w:ascii="仿宋" w:eastAsia="仿宋" w:hAnsi="仿宋" w:hint="eastAsia"/>
          <w:b/>
          <w:color w:val="000000"/>
          <w:sz w:val="28"/>
          <w:szCs w:val="28"/>
        </w:rPr>
      </w:pPr>
      <w:r>
        <w:rPr>
          <w:rFonts w:ascii="仿宋" w:eastAsia="仿宋" w:hAnsi="仿宋" w:hint="eastAsia"/>
          <w:b/>
          <w:sz w:val="28"/>
          <w:szCs w:val="28"/>
        </w:rPr>
        <w:t>单位名称：</w:t>
      </w:r>
      <w:r>
        <w:rPr>
          <w:rFonts w:ascii="仿宋" w:eastAsia="仿宋" w:hAnsi="仿宋" w:hint="eastAsia"/>
          <w:b/>
          <w:color w:val="000000"/>
          <w:sz w:val="28"/>
          <w:szCs w:val="28"/>
        </w:rPr>
        <w:t xml:space="preserve">深圳市药品检验研究院 </w:t>
      </w:r>
    </w:p>
    <w:p w:rsidR="002B7290" w:rsidRDefault="002B7290" w:rsidP="002B7290">
      <w:pPr>
        <w:rPr>
          <w:rFonts w:ascii="仿宋" w:eastAsia="仿宋" w:hAnsi="仿宋" w:hint="eastAsia"/>
          <w:color w:val="000000"/>
          <w:sz w:val="28"/>
          <w:szCs w:val="28"/>
        </w:rPr>
      </w:pPr>
      <w:r>
        <w:rPr>
          <w:rFonts w:ascii="仿宋" w:eastAsia="仿宋" w:hAnsi="仿宋" w:hint="eastAsia"/>
          <w:color w:val="000000"/>
          <w:sz w:val="28"/>
          <w:szCs w:val="28"/>
        </w:rPr>
        <w:t>组织机构代码：45575564-5</w:t>
      </w:r>
    </w:p>
    <w:p w:rsidR="002B7290" w:rsidRDefault="002B7290" w:rsidP="002B7290">
      <w:pPr>
        <w:rPr>
          <w:rFonts w:ascii="仿宋" w:eastAsia="仿宋" w:hAnsi="仿宋" w:hint="eastAsia"/>
          <w:color w:val="000000"/>
          <w:sz w:val="28"/>
          <w:szCs w:val="28"/>
        </w:rPr>
      </w:pPr>
      <w:r>
        <w:rPr>
          <w:rFonts w:ascii="仿宋" w:eastAsia="仿宋" w:hAnsi="仿宋" w:hint="eastAsia"/>
          <w:color w:val="000000"/>
          <w:sz w:val="28"/>
          <w:szCs w:val="28"/>
        </w:rPr>
        <w:t>法定代表人：鲁艺</w:t>
      </w:r>
    </w:p>
    <w:p w:rsidR="002B7290" w:rsidRDefault="002B7290" w:rsidP="002B7290">
      <w:pPr>
        <w:rPr>
          <w:rFonts w:ascii="仿宋" w:eastAsia="仿宋" w:hAnsi="仿宋" w:hint="eastAsia"/>
          <w:color w:val="000000"/>
          <w:sz w:val="28"/>
          <w:szCs w:val="28"/>
        </w:rPr>
      </w:pPr>
      <w:r>
        <w:rPr>
          <w:rFonts w:ascii="仿宋" w:eastAsia="仿宋" w:hAnsi="仿宋" w:hint="eastAsia"/>
          <w:color w:val="000000"/>
          <w:sz w:val="28"/>
          <w:szCs w:val="28"/>
        </w:rPr>
        <w:t>生产地址：深圳市南山区高新中二道28号</w:t>
      </w:r>
    </w:p>
    <w:p w:rsidR="002B7290" w:rsidRDefault="002B7290" w:rsidP="002B7290">
      <w:pPr>
        <w:rPr>
          <w:rFonts w:ascii="仿宋" w:eastAsia="仿宋" w:hAnsi="仿宋" w:hint="eastAsia"/>
          <w:color w:val="000000"/>
          <w:sz w:val="28"/>
          <w:szCs w:val="28"/>
        </w:rPr>
      </w:pPr>
      <w:r>
        <w:rPr>
          <w:rFonts w:ascii="仿宋" w:eastAsia="仿宋" w:hAnsi="仿宋" w:hint="eastAsia"/>
          <w:color w:val="000000"/>
          <w:sz w:val="28"/>
          <w:szCs w:val="28"/>
        </w:rPr>
        <w:t>联系方式：电话0755-26031783  传  真0755-26031834</w:t>
      </w:r>
    </w:p>
    <w:p w:rsidR="002B7290" w:rsidRDefault="002B7290" w:rsidP="002B7290">
      <w:pPr>
        <w:rPr>
          <w:rFonts w:ascii="仿宋" w:eastAsia="仿宋" w:hAnsi="仿宋" w:hint="eastAsia"/>
          <w:color w:val="000000"/>
          <w:sz w:val="28"/>
          <w:szCs w:val="28"/>
        </w:rPr>
      </w:pPr>
      <w:r>
        <w:rPr>
          <w:rFonts w:ascii="仿宋" w:eastAsia="仿宋" w:hAnsi="仿宋" w:hint="eastAsia"/>
          <w:color w:val="000000"/>
          <w:sz w:val="28"/>
          <w:szCs w:val="28"/>
        </w:rPr>
        <w:t>行业类型：技术检测7657650</w:t>
      </w:r>
    </w:p>
    <w:p w:rsidR="002B7290" w:rsidRDefault="002B7290" w:rsidP="002B7290">
      <w:pPr>
        <w:rPr>
          <w:rFonts w:ascii="仿宋" w:eastAsia="仿宋" w:hAnsi="仿宋" w:hint="eastAsia"/>
          <w:color w:val="000000"/>
          <w:sz w:val="28"/>
          <w:szCs w:val="28"/>
        </w:rPr>
      </w:pPr>
      <w:r>
        <w:rPr>
          <w:rFonts w:ascii="仿宋" w:eastAsia="仿宋" w:hAnsi="仿宋" w:hint="eastAsia"/>
          <w:color w:val="000000"/>
          <w:sz w:val="28"/>
          <w:szCs w:val="28"/>
        </w:rPr>
        <w:t>开办资金:5149.5万元</w:t>
      </w:r>
    </w:p>
    <w:p w:rsidR="002B7290" w:rsidRDefault="002B7290" w:rsidP="002B7290">
      <w:pPr>
        <w:rPr>
          <w:rFonts w:ascii="仿宋" w:eastAsia="仿宋" w:hAnsi="仿宋" w:hint="eastAsia"/>
          <w:color w:val="000000"/>
          <w:sz w:val="28"/>
          <w:szCs w:val="28"/>
        </w:rPr>
      </w:pPr>
      <w:r>
        <w:rPr>
          <w:rFonts w:ascii="仿宋" w:eastAsia="仿宋" w:hAnsi="仿宋" w:hint="eastAsia"/>
          <w:color w:val="000000"/>
          <w:sz w:val="28"/>
          <w:szCs w:val="28"/>
        </w:rPr>
        <w:t>经济类型：全额核拨事业单位</w:t>
      </w:r>
    </w:p>
    <w:p w:rsidR="002B7290" w:rsidRDefault="002B7290" w:rsidP="002B7290">
      <w:pPr>
        <w:rPr>
          <w:rFonts w:ascii="仿宋" w:eastAsia="仿宋" w:hAnsi="仿宋" w:hint="eastAsia"/>
          <w:color w:val="000000"/>
          <w:sz w:val="28"/>
          <w:szCs w:val="28"/>
        </w:rPr>
      </w:pPr>
      <w:r>
        <w:rPr>
          <w:rFonts w:ascii="仿宋" w:eastAsia="仿宋" w:hAnsi="仿宋" w:hint="eastAsia"/>
          <w:color w:val="000000"/>
          <w:sz w:val="28"/>
          <w:szCs w:val="28"/>
        </w:rPr>
        <w:t>经营类型：药品、保健食品、化妆品、医疗器械技术监督检验</w:t>
      </w:r>
    </w:p>
    <w:p w:rsidR="002B7290" w:rsidRDefault="002B7290" w:rsidP="002B7290">
      <w:pPr>
        <w:rPr>
          <w:rFonts w:ascii="仿宋" w:eastAsia="仿宋" w:hAnsi="仿宋" w:hint="eastAsia"/>
          <w:color w:val="000000"/>
          <w:sz w:val="28"/>
          <w:szCs w:val="28"/>
        </w:rPr>
      </w:pPr>
      <w:r>
        <w:rPr>
          <w:rFonts w:ascii="仿宋" w:eastAsia="仿宋" w:hAnsi="仿宋" w:hint="eastAsia"/>
          <w:color w:val="000000"/>
          <w:sz w:val="28"/>
          <w:szCs w:val="28"/>
        </w:rPr>
        <w:t>员工人数：178人</w:t>
      </w:r>
    </w:p>
    <w:p w:rsidR="002B7290" w:rsidRDefault="002B7290" w:rsidP="002B7290">
      <w:pPr>
        <w:rPr>
          <w:rFonts w:ascii="仿宋" w:eastAsia="仿宋" w:hAnsi="仿宋" w:hint="eastAsia"/>
          <w:color w:val="000000"/>
          <w:sz w:val="28"/>
          <w:szCs w:val="28"/>
        </w:rPr>
      </w:pPr>
      <w:r>
        <w:rPr>
          <w:rFonts w:ascii="仿宋" w:eastAsia="仿宋" w:hAnsi="仿宋" w:hint="eastAsia"/>
          <w:color w:val="000000"/>
          <w:sz w:val="28"/>
          <w:szCs w:val="28"/>
        </w:rPr>
        <w:t>主管部门：深圳市市场质量监督管理委员会</w:t>
      </w:r>
    </w:p>
    <w:p w:rsidR="002B7290" w:rsidRDefault="002B7290" w:rsidP="002B7290">
      <w:pPr>
        <w:spacing w:line="360" w:lineRule="auto"/>
        <w:rPr>
          <w:rFonts w:ascii="仿宋" w:eastAsia="仿宋" w:hAnsi="仿宋" w:hint="eastAsia"/>
          <w:color w:val="000000"/>
          <w:spacing w:val="16"/>
          <w:sz w:val="28"/>
          <w:szCs w:val="28"/>
        </w:rPr>
      </w:pPr>
      <w:r>
        <w:rPr>
          <w:rFonts w:ascii="仿宋" w:eastAsia="仿宋" w:hAnsi="仿宋" w:hint="eastAsia"/>
          <w:color w:val="000000"/>
          <w:sz w:val="28"/>
          <w:szCs w:val="28"/>
        </w:rPr>
        <w:t>运营模式：</w:t>
      </w:r>
      <w:r>
        <w:rPr>
          <w:rFonts w:ascii="仿宋" w:eastAsia="仿宋" w:hAnsi="仿宋" w:hint="eastAsia"/>
          <w:color w:val="000000"/>
          <w:spacing w:val="16"/>
          <w:sz w:val="28"/>
          <w:szCs w:val="28"/>
        </w:rPr>
        <w:t>单位运营方式属非生产性，运营方式主要根据国家、省、市政府药品、保健食品、化妆品、医疗器械等年度监督抽样计划，接受执法局、各辖区市场分局抽样，开展检验检测工作，以及打假、非法添加、案件、突发事件应急检验，药品、保健食品、化妆品、医疗器械质量标准制定及开展相关研究工作，同时接受企业客户委托检验。</w:t>
      </w:r>
    </w:p>
    <w:p w:rsidR="002B7290" w:rsidRDefault="002B7290" w:rsidP="002B7290">
      <w:pPr>
        <w:spacing w:beforeLines="50" w:afterLines="50" w:line="360" w:lineRule="auto"/>
        <w:ind w:firstLineChars="200" w:firstLine="420"/>
        <w:rPr>
          <w:rFonts w:hint="eastAsia"/>
          <w:color w:val="FF0000"/>
          <w:szCs w:val="21"/>
        </w:rPr>
      </w:pPr>
      <w:r>
        <w:rPr>
          <w:rFonts w:hint="eastAsia"/>
          <w:color w:val="FF0000"/>
          <w:szCs w:val="21"/>
        </w:rPr>
        <w:t>（二）排污信息</w:t>
      </w:r>
    </w:p>
    <w:p w:rsidR="002B7290" w:rsidRDefault="002B7290" w:rsidP="002B7290">
      <w:pPr>
        <w:spacing w:beforeLines="50" w:afterLines="50" w:line="360" w:lineRule="auto"/>
        <w:ind w:firstLineChars="200" w:firstLine="420"/>
        <w:rPr>
          <w:b/>
          <w:sz w:val="24"/>
        </w:rPr>
      </w:pPr>
      <w:r>
        <w:rPr>
          <w:color w:val="FF0000"/>
          <w:szCs w:val="21"/>
        </w:rPr>
        <w:t xml:space="preserve">   </w:t>
      </w:r>
      <w:r>
        <w:rPr>
          <w:b/>
          <w:sz w:val="24"/>
        </w:rPr>
        <w:t>1.</w:t>
      </w:r>
      <w:r>
        <w:rPr>
          <w:rFonts w:hint="eastAsia"/>
          <w:b/>
          <w:sz w:val="24"/>
        </w:rPr>
        <w:t>环境管理基本信息</w:t>
      </w:r>
    </w:p>
    <w:p w:rsidR="002B7290" w:rsidRDefault="002B7290" w:rsidP="002B7290">
      <w:pPr>
        <w:spacing w:beforeLines="50" w:afterLines="50" w:line="360" w:lineRule="auto"/>
        <w:ind w:firstLineChars="200" w:firstLine="480"/>
        <w:rPr>
          <w:sz w:val="24"/>
        </w:rPr>
      </w:pPr>
      <w:r>
        <w:rPr>
          <w:rFonts w:hint="eastAsia"/>
          <w:sz w:val="24"/>
        </w:rPr>
        <w:t>根据国家和深圳市有关环境保护政策和法规的规定，单位均按照相关的法律</w:t>
      </w:r>
      <w:r>
        <w:rPr>
          <w:rFonts w:hint="eastAsia"/>
          <w:sz w:val="24"/>
        </w:rPr>
        <w:lastRenderedPageBreak/>
        <w:t>法规进行相关的手续申报，并取得了相应的审查批复。单位废水、噪声以及固体废弃物所执行的排放标准如表</w:t>
      </w:r>
      <w:r>
        <w:rPr>
          <w:sz w:val="24"/>
        </w:rPr>
        <w:t>1</w:t>
      </w:r>
      <w:r>
        <w:rPr>
          <w:rFonts w:hint="eastAsia"/>
          <w:sz w:val="24"/>
        </w:rPr>
        <w:t>所示。</w:t>
      </w:r>
    </w:p>
    <w:p w:rsidR="002B7290" w:rsidRDefault="002B7290" w:rsidP="002B7290">
      <w:pPr>
        <w:spacing w:line="360" w:lineRule="auto"/>
        <w:jc w:val="center"/>
        <w:rPr>
          <w:b/>
          <w:szCs w:val="21"/>
        </w:rPr>
      </w:pPr>
      <w:r>
        <w:rPr>
          <w:rFonts w:hint="eastAsia"/>
          <w:b/>
          <w:szCs w:val="21"/>
        </w:rPr>
        <w:t>表</w:t>
      </w:r>
      <w:r>
        <w:rPr>
          <w:b/>
          <w:szCs w:val="21"/>
        </w:rPr>
        <w:t xml:space="preserve">1  </w:t>
      </w:r>
      <w:r>
        <w:rPr>
          <w:rFonts w:hint="eastAsia"/>
          <w:b/>
          <w:szCs w:val="21"/>
        </w:rPr>
        <w:t>单位废水、噪声以及固</w:t>
      </w:r>
      <w:proofErr w:type="gramStart"/>
      <w:r>
        <w:rPr>
          <w:rFonts w:hint="eastAsia"/>
          <w:b/>
          <w:szCs w:val="21"/>
        </w:rPr>
        <w:t>废执行</w:t>
      </w:r>
      <w:proofErr w:type="gramEnd"/>
      <w:r>
        <w:rPr>
          <w:rFonts w:hint="eastAsia"/>
          <w:b/>
          <w:szCs w:val="21"/>
        </w:rPr>
        <w:t>的排放标准表</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901"/>
        <w:gridCol w:w="2702"/>
        <w:gridCol w:w="4284"/>
      </w:tblGrid>
      <w:tr w:rsidR="002B7290" w:rsidTr="002B7290">
        <w:trPr>
          <w:cantSplit/>
          <w:trHeight w:val="551"/>
        </w:trPr>
        <w:tc>
          <w:tcPr>
            <w:tcW w:w="648"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b/>
                <w:szCs w:val="21"/>
              </w:rPr>
            </w:pPr>
            <w:r>
              <w:rPr>
                <w:rFonts w:hint="eastAsia"/>
                <w:b/>
                <w:szCs w:val="21"/>
              </w:rPr>
              <w:t>序号</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b/>
                <w:szCs w:val="21"/>
              </w:rPr>
            </w:pPr>
            <w:r>
              <w:rPr>
                <w:rFonts w:hint="eastAsia"/>
                <w:b/>
                <w:szCs w:val="21"/>
              </w:rPr>
              <w:t>项目</w:t>
            </w:r>
          </w:p>
        </w:tc>
        <w:tc>
          <w:tcPr>
            <w:tcW w:w="2700"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b/>
                <w:szCs w:val="21"/>
              </w:rPr>
            </w:pPr>
            <w:r>
              <w:rPr>
                <w:rFonts w:hint="eastAsia"/>
                <w:b/>
                <w:szCs w:val="21"/>
              </w:rPr>
              <w:t>要求</w:t>
            </w:r>
          </w:p>
        </w:tc>
        <w:tc>
          <w:tcPr>
            <w:tcW w:w="4280"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b/>
                <w:szCs w:val="21"/>
              </w:rPr>
            </w:pPr>
            <w:r>
              <w:rPr>
                <w:rFonts w:hint="eastAsia"/>
                <w:b/>
                <w:szCs w:val="21"/>
              </w:rPr>
              <w:t>执行排放标准</w:t>
            </w:r>
          </w:p>
        </w:tc>
      </w:tr>
      <w:tr w:rsidR="002B7290" w:rsidTr="002B7290">
        <w:trPr>
          <w:cantSplit/>
          <w:trHeight w:val="459"/>
        </w:trPr>
        <w:tc>
          <w:tcPr>
            <w:tcW w:w="648"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szCs w:val="21"/>
              </w:rPr>
            </w:pPr>
            <w:r>
              <w:rPr>
                <w:szCs w:val="21"/>
              </w:rPr>
              <w:t>1</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szCs w:val="21"/>
              </w:rPr>
            </w:pPr>
            <w:r>
              <w:rPr>
                <w:rFonts w:hint="eastAsia"/>
                <w:szCs w:val="21"/>
              </w:rPr>
              <w:t>废水</w:t>
            </w:r>
          </w:p>
        </w:tc>
        <w:tc>
          <w:tcPr>
            <w:tcW w:w="2700"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szCs w:val="21"/>
              </w:rPr>
            </w:pPr>
            <w:r>
              <w:rPr>
                <w:rFonts w:hint="eastAsia"/>
                <w:szCs w:val="21"/>
              </w:rPr>
              <w:t>实验室清洗废水排放不得超过</w:t>
            </w:r>
            <w:r>
              <w:rPr>
                <w:szCs w:val="21"/>
              </w:rPr>
              <w:t>34</w:t>
            </w:r>
            <w:r>
              <w:rPr>
                <w:rFonts w:hint="eastAsia"/>
                <w:szCs w:val="21"/>
              </w:rPr>
              <w:t>吨</w:t>
            </w:r>
            <w:r>
              <w:rPr>
                <w:szCs w:val="21"/>
              </w:rPr>
              <w:t>/</w:t>
            </w:r>
            <w:r>
              <w:rPr>
                <w:rFonts w:hint="eastAsia"/>
                <w:szCs w:val="21"/>
              </w:rPr>
              <w:t>日，实验废水排放量不超过</w:t>
            </w:r>
            <w:r>
              <w:rPr>
                <w:szCs w:val="21"/>
              </w:rPr>
              <w:t>9</w:t>
            </w:r>
            <w:r>
              <w:rPr>
                <w:rFonts w:hint="eastAsia"/>
                <w:szCs w:val="21"/>
              </w:rPr>
              <w:t>吨</w:t>
            </w:r>
            <w:r>
              <w:rPr>
                <w:szCs w:val="21"/>
              </w:rPr>
              <w:t>/</w:t>
            </w:r>
            <w:r>
              <w:rPr>
                <w:rFonts w:hint="eastAsia"/>
                <w:szCs w:val="21"/>
              </w:rPr>
              <w:t>日</w:t>
            </w:r>
          </w:p>
        </w:tc>
        <w:tc>
          <w:tcPr>
            <w:tcW w:w="4280"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szCs w:val="21"/>
              </w:rPr>
            </w:pPr>
            <w:r>
              <w:rPr>
                <w:rFonts w:hint="eastAsia"/>
                <w:szCs w:val="21"/>
              </w:rPr>
              <w:t>执行《</w:t>
            </w:r>
            <w:hyperlink r:id="rId4" w:tgtFrame="_blank" w:history="1">
              <w:r>
                <w:rPr>
                  <w:rStyle w:val="a5"/>
                  <w:rFonts w:hint="eastAsia"/>
                  <w:szCs w:val="21"/>
                </w:rPr>
                <w:t>广东省水污染物排放限值》（</w:t>
              </w:r>
              <w:r>
                <w:rPr>
                  <w:rStyle w:val="a5"/>
                  <w:szCs w:val="21"/>
                </w:rPr>
                <w:t>DB4426-2001</w:t>
              </w:r>
            </w:hyperlink>
            <w:r>
              <w:rPr>
                <w:rFonts w:hint="eastAsia"/>
                <w:szCs w:val="21"/>
              </w:rPr>
              <w:t>）的二级标准</w:t>
            </w:r>
          </w:p>
        </w:tc>
      </w:tr>
      <w:tr w:rsidR="002B7290" w:rsidTr="002B7290">
        <w:trPr>
          <w:cantSplit/>
          <w:trHeight w:val="464"/>
        </w:trPr>
        <w:tc>
          <w:tcPr>
            <w:tcW w:w="648"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szCs w:val="21"/>
              </w:rPr>
            </w:pPr>
            <w:r>
              <w:rPr>
                <w:szCs w:val="21"/>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szCs w:val="21"/>
              </w:rPr>
            </w:pPr>
            <w:r>
              <w:rPr>
                <w:rFonts w:hint="eastAsia"/>
                <w:szCs w:val="21"/>
              </w:rPr>
              <w:t>噪声</w:t>
            </w:r>
          </w:p>
        </w:tc>
        <w:tc>
          <w:tcPr>
            <w:tcW w:w="2700"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szCs w:val="21"/>
              </w:rPr>
            </w:pPr>
            <w:r>
              <w:rPr>
                <w:szCs w:val="21"/>
              </w:rPr>
              <w:t>2</w:t>
            </w:r>
            <w:r>
              <w:rPr>
                <w:rFonts w:hint="eastAsia"/>
                <w:szCs w:val="21"/>
              </w:rPr>
              <w:t>类区标准</w:t>
            </w:r>
          </w:p>
        </w:tc>
        <w:tc>
          <w:tcPr>
            <w:tcW w:w="4280"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szCs w:val="21"/>
              </w:rPr>
            </w:pPr>
            <w:r>
              <w:rPr>
                <w:rFonts w:hint="eastAsia"/>
                <w:szCs w:val="21"/>
              </w:rPr>
              <w:t>执行</w:t>
            </w:r>
            <w:r>
              <w:rPr>
                <w:szCs w:val="21"/>
              </w:rPr>
              <w:t>GB12348-2008</w:t>
            </w:r>
            <w:r>
              <w:rPr>
                <w:rFonts w:hint="eastAsia"/>
                <w:szCs w:val="21"/>
              </w:rPr>
              <w:t>中</w:t>
            </w:r>
            <w:r>
              <w:rPr>
                <w:szCs w:val="21"/>
              </w:rPr>
              <w:t>2</w:t>
            </w:r>
            <w:r>
              <w:rPr>
                <w:rFonts w:hint="eastAsia"/>
                <w:szCs w:val="21"/>
              </w:rPr>
              <w:t>类区标准，昼间</w:t>
            </w:r>
            <w:r>
              <w:rPr>
                <w:szCs w:val="21"/>
              </w:rPr>
              <w:t>≤60dB</w:t>
            </w:r>
            <w:r>
              <w:rPr>
                <w:rFonts w:hint="eastAsia"/>
                <w:szCs w:val="21"/>
              </w:rPr>
              <w:t>，夜间</w:t>
            </w:r>
            <w:r>
              <w:rPr>
                <w:szCs w:val="21"/>
              </w:rPr>
              <w:t>≤50dB</w:t>
            </w:r>
          </w:p>
        </w:tc>
      </w:tr>
      <w:tr w:rsidR="002B7290" w:rsidTr="002B7290">
        <w:trPr>
          <w:cantSplit/>
          <w:trHeight w:val="456"/>
        </w:trPr>
        <w:tc>
          <w:tcPr>
            <w:tcW w:w="648"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szCs w:val="21"/>
              </w:rPr>
            </w:pPr>
            <w:r>
              <w:rPr>
                <w:szCs w:val="21"/>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szCs w:val="21"/>
              </w:rPr>
            </w:pPr>
            <w:r>
              <w:rPr>
                <w:rFonts w:hint="eastAsia"/>
                <w:szCs w:val="21"/>
              </w:rPr>
              <w:t>固体废物</w:t>
            </w:r>
          </w:p>
        </w:tc>
        <w:tc>
          <w:tcPr>
            <w:tcW w:w="2700"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szCs w:val="21"/>
              </w:rPr>
            </w:pPr>
            <w:r>
              <w:rPr>
                <w:rFonts w:hint="eastAsia"/>
                <w:szCs w:val="21"/>
              </w:rPr>
              <w:t>固体废物分类收集处理，其中危险废弃物必须交有资质的单位回收处理</w:t>
            </w:r>
          </w:p>
        </w:tc>
        <w:tc>
          <w:tcPr>
            <w:tcW w:w="4280" w:type="dxa"/>
            <w:tcBorders>
              <w:top w:val="single" w:sz="4" w:space="0" w:color="auto"/>
              <w:left w:val="single" w:sz="4" w:space="0" w:color="auto"/>
              <w:bottom w:val="single" w:sz="4" w:space="0" w:color="auto"/>
              <w:right w:val="single" w:sz="4" w:space="0" w:color="auto"/>
            </w:tcBorders>
            <w:vAlign w:val="center"/>
            <w:hideMark/>
          </w:tcPr>
          <w:p w:rsidR="002B7290" w:rsidRDefault="002B7290">
            <w:pPr>
              <w:jc w:val="center"/>
              <w:rPr>
                <w:szCs w:val="21"/>
              </w:rPr>
            </w:pPr>
            <w:r>
              <w:rPr>
                <w:rFonts w:hint="eastAsia"/>
                <w:szCs w:val="21"/>
              </w:rPr>
              <w:t>执行《中华人民共和国固体废物环境防治法》和广东省固体废物环境防治条例</w:t>
            </w:r>
            <w:proofErr w:type="gramStart"/>
            <w:r>
              <w:rPr>
                <w:rFonts w:hint="eastAsia"/>
                <w:szCs w:val="21"/>
              </w:rPr>
              <w:t>》</w:t>
            </w:r>
            <w:proofErr w:type="gramEnd"/>
            <w:r>
              <w:rPr>
                <w:rFonts w:hint="eastAsia"/>
                <w:szCs w:val="21"/>
              </w:rPr>
              <w:t>的有关规定</w:t>
            </w:r>
          </w:p>
        </w:tc>
      </w:tr>
    </w:tbl>
    <w:p w:rsidR="002B7290" w:rsidRDefault="002B7290" w:rsidP="002B7290">
      <w:pPr>
        <w:spacing w:beforeLines="50" w:afterLines="50" w:line="360" w:lineRule="auto"/>
        <w:ind w:firstLineChars="200" w:firstLine="482"/>
        <w:rPr>
          <w:b/>
          <w:sz w:val="24"/>
        </w:rPr>
      </w:pPr>
      <w:r>
        <w:rPr>
          <w:b/>
          <w:sz w:val="24"/>
        </w:rPr>
        <w:t>2.</w:t>
      </w:r>
      <w:r>
        <w:rPr>
          <w:rFonts w:hint="eastAsia"/>
          <w:b/>
          <w:sz w:val="24"/>
        </w:rPr>
        <w:t>污染物排放及处理</w:t>
      </w:r>
    </w:p>
    <w:p w:rsidR="002B7290" w:rsidRDefault="002B7290" w:rsidP="002B7290">
      <w:pPr>
        <w:pStyle w:val="a4"/>
        <w:spacing w:before="156" w:line="360" w:lineRule="auto"/>
        <w:ind w:firstLine="480"/>
        <w:rPr>
          <w:szCs w:val="24"/>
        </w:rPr>
      </w:pPr>
      <w:r>
        <w:rPr>
          <w:szCs w:val="24"/>
        </w:rPr>
        <w:t>1</w:t>
      </w:r>
      <w:r>
        <w:rPr>
          <w:rFonts w:hint="eastAsia"/>
          <w:szCs w:val="24"/>
        </w:rPr>
        <w:t>）废水</w:t>
      </w:r>
    </w:p>
    <w:p w:rsidR="002B7290" w:rsidRDefault="002B7290" w:rsidP="002B7290">
      <w:pPr>
        <w:pStyle w:val="a4"/>
        <w:spacing w:before="156" w:line="360" w:lineRule="auto"/>
        <w:ind w:firstLine="480"/>
        <w:rPr>
          <w:szCs w:val="24"/>
        </w:rPr>
      </w:pPr>
      <w:r>
        <w:rPr>
          <w:rFonts w:hint="eastAsia"/>
          <w:szCs w:val="24"/>
        </w:rPr>
        <w:t>单位废水可分为生活污水、实验室清洗废水、实验废水三类，其中生活污水（约</w:t>
      </w:r>
      <w:r>
        <w:rPr>
          <w:szCs w:val="24"/>
        </w:rPr>
        <w:t>24</w:t>
      </w:r>
      <w:r>
        <w:rPr>
          <w:rFonts w:hint="eastAsia"/>
          <w:szCs w:val="24"/>
        </w:rPr>
        <w:t>吨</w:t>
      </w:r>
      <w:r>
        <w:rPr>
          <w:szCs w:val="24"/>
        </w:rPr>
        <w:t>/</w:t>
      </w:r>
      <w:r>
        <w:rPr>
          <w:rFonts w:hint="eastAsia"/>
          <w:szCs w:val="24"/>
        </w:rPr>
        <w:t>日）、实验室清洗废水（主要污染物为洗涤剂，约</w:t>
      </w:r>
      <w:r>
        <w:rPr>
          <w:szCs w:val="24"/>
        </w:rPr>
        <w:t>32</w:t>
      </w:r>
      <w:r>
        <w:rPr>
          <w:rFonts w:hint="eastAsia"/>
          <w:szCs w:val="24"/>
        </w:rPr>
        <w:t>吨</w:t>
      </w:r>
      <w:r>
        <w:rPr>
          <w:szCs w:val="24"/>
        </w:rPr>
        <w:t>/</w:t>
      </w:r>
      <w:r>
        <w:rPr>
          <w:rFonts w:hint="eastAsia"/>
          <w:szCs w:val="24"/>
        </w:rPr>
        <w:t>日），</w:t>
      </w:r>
      <w:proofErr w:type="gramStart"/>
      <w:r>
        <w:rPr>
          <w:rFonts w:hint="eastAsia"/>
          <w:szCs w:val="24"/>
        </w:rPr>
        <w:t>污染污染</w:t>
      </w:r>
      <w:proofErr w:type="gramEnd"/>
      <w:r>
        <w:rPr>
          <w:rFonts w:hint="eastAsia"/>
          <w:szCs w:val="24"/>
        </w:rPr>
        <w:t>浓度不超过相关水污染物排放标准，可直接排入市政污水管网，最终排入南山污水处理厂。单位试剂、药品稀释及制备产生的实验废水，排放量约</w:t>
      </w:r>
      <w:r>
        <w:rPr>
          <w:szCs w:val="24"/>
        </w:rPr>
        <w:t>9</w:t>
      </w:r>
      <w:r>
        <w:rPr>
          <w:rFonts w:hint="eastAsia"/>
          <w:szCs w:val="24"/>
        </w:rPr>
        <w:t>吨</w:t>
      </w:r>
      <w:r>
        <w:rPr>
          <w:szCs w:val="24"/>
        </w:rPr>
        <w:t>/</w:t>
      </w:r>
      <w:r>
        <w:rPr>
          <w:rFonts w:hint="eastAsia"/>
          <w:szCs w:val="24"/>
        </w:rPr>
        <w:t>日，该废水含污染物重金属锌、铜、铬、酸、碱，经处理后达标排放。</w:t>
      </w:r>
    </w:p>
    <w:p w:rsidR="002B7290" w:rsidRDefault="002B7290" w:rsidP="002B7290">
      <w:pPr>
        <w:pStyle w:val="a4"/>
        <w:spacing w:before="156" w:line="360" w:lineRule="auto"/>
        <w:ind w:firstLine="480"/>
        <w:rPr>
          <w:szCs w:val="24"/>
        </w:rPr>
      </w:pPr>
      <w:r>
        <w:rPr>
          <w:rFonts w:hint="eastAsia"/>
          <w:szCs w:val="24"/>
        </w:rPr>
        <w:t>处理工艺如图</w:t>
      </w:r>
      <w:r>
        <w:rPr>
          <w:szCs w:val="24"/>
        </w:rPr>
        <w:t>1</w:t>
      </w:r>
      <w:r>
        <w:rPr>
          <w:rFonts w:hint="eastAsia"/>
          <w:szCs w:val="24"/>
        </w:rPr>
        <w:t>。</w:t>
      </w:r>
    </w:p>
    <w:p w:rsidR="002B7290" w:rsidRDefault="002B7290" w:rsidP="002B7290">
      <w:pPr>
        <w:pStyle w:val="a4"/>
        <w:spacing w:before="156" w:line="360" w:lineRule="auto"/>
        <w:ind w:firstLine="480"/>
        <w:rPr>
          <w:szCs w:val="24"/>
        </w:rPr>
      </w:pPr>
      <w:r>
        <w:rPr>
          <w:szCs w:val="24"/>
        </w:rPr>
      </w:r>
      <w:r>
        <w:rPr>
          <w:szCs w:val="24"/>
        </w:rPr>
        <w:pict>
          <v:group id="_x0000_s1026" editas="canvas" style="width:415.3pt;height:167.4pt;mso-position-horizontal-relative:char;mso-position-vertical-relative:line" coordorigin="2280,2052" coordsize="8306,33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80;top:2052;width:8306;height:3348" o:preferrelative="f">
              <v:fill o:detectmouseclick="t"/>
              <v:path o:extrusionok="t" o:connecttype="none"/>
            </v:shape>
            <v:shapetype id="_x0000_t202" coordsize="21600,21600" o:spt="202" path="m,l,21600r21600,l21600,xe">
              <v:stroke joinstyle="miter"/>
              <v:path gradientshapeok="t" o:connecttype="rect"/>
            </v:shapetype>
            <v:shape id="_x0000_s1028" type="#_x0000_t202" style="position:absolute;left:3270;top:2399;width:1981;height:511">
              <v:textbox>
                <w:txbxContent>
                  <w:p w:rsidR="002B7290" w:rsidRDefault="002B7290" w:rsidP="002B7290">
                    <w:r>
                      <w:rPr>
                        <w:rFonts w:hint="eastAsia"/>
                      </w:rPr>
                      <w:t>综合废水调节池</w:t>
                    </w:r>
                  </w:p>
                </w:txbxContent>
              </v:textbox>
            </v:shape>
            <v:shape id="_x0000_s1029" type="#_x0000_t202" style="position:absolute;left:5790;top:2398;width:1770;height:512">
              <v:textbox>
                <w:txbxContent>
                  <w:p w:rsidR="002B7290" w:rsidRDefault="002B7290" w:rsidP="002B7290">
                    <w:r>
                      <w:t>PH</w:t>
                    </w:r>
                    <w:r>
                      <w:rPr>
                        <w:rFonts w:hint="eastAsia"/>
                      </w:rPr>
                      <w:t>反应池</w:t>
                    </w:r>
                    <w:r>
                      <w:t>1</w:t>
                    </w:r>
                  </w:p>
                </w:txbxContent>
              </v:textbox>
            </v:shape>
            <v:shape id="_x0000_s1030" type="#_x0000_t202" style="position:absolute;left:7950;top:2399;width:1771;height:511">
              <v:textbox>
                <w:txbxContent>
                  <w:p w:rsidR="002B7290" w:rsidRDefault="002B7290" w:rsidP="002B7290">
                    <w:r>
                      <w:rPr>
                        <w:rFonts w:hint="eastAsia"/>
                      </w:rPr>
                      <w:t>化学氧化池</w:t>
                    </w:r>
                  </w:p>
                </w:txbxContent>
              </v:textbox>
            </v:shape>
            <v:shape id="_x0000_s1031" type="#_x0000_t202" style="position:absolute;left:3480;top:3524;width:1771;height:526">
              <v:textbox>
                <w:txbxContent>
                  <w:p w:rsidR="002B7290" w:rsidRDefault="002B7290" w:rsidP="002B7290">
                    <w:r>
                      <w:t>PH</w:t>
                    </w:r>
                    <w:r>
                      <w:rPr>
                        <w:rFonts w:hint="eastAsia"/>
                      </w:rPr>
                      <w:t>反应池</w:t>
                    </w:r>
                    <w:r>
                      <w:t>2</w:t>
                    </w:r>
                  </w:p>
                </w:txbxContent>
              </v:textbox>
            </v:shape>
            <v:shape id="_x0000_s1032" type="#_x0000_t202" style="position:absolute;left:5865;top:3524;width:1771;height:526">
              <v:textbox>
                <w:txbxContent>
                  <w:p w:rsidR="002B7290" w:rsidRDefault="002B7290" w:rsidP="002B7290">
                    <w:r>
                      <w:rPr>
                        <w:rFonts w:hint="eastAsia"/>
                      </w:rPr>
                      <w:t>混</w:t>
                    </w:r>
                    <w:proofErr w:type="gramStart"/>
                    <w:r>
                      <w:rPr>
                        <w:rFonts w:hint="eastAsia"/>
                      </w:rPr>
                      <w:t>凝反应</w:t>
                    </w:r>
                    <w:proofErr w:type="gramEnd"/>
                    <w:r>
                      <w:rPr>
                        <w:rFonts w:hint="eastAsia"/>
                      </w:rPr>
                      <w:t>池</w:t>
                    </w:r>
                  </w:p>
                </w:txbxContent>
              </v:textbox>
            </v:shape>
            <v:shape id="_x0000_s1033" type="#_x0000_t202" style="position:absolute;left:8085;top:3524;width:1771;height:526">
              <v:textbox>
                <w:txbxContent>
                  <w:p w:rsidR="002B7290" w:rsidRDefault="002B7290" w:rsidP="002B7290">
                    <w:r>
                      <w:rPr>
                        <w:rFonts w:hint="eastAsia"/>
                      </w:rPr>
                      <w:t>斜管沉淀池</w:t>
                    </w:r>
                  </w:p>
                </w:txbxContent>
              </v:textbox>
            </v:shape>
            <v:shape id="_x0000_s1034" type="#_x0000_t202" style="position:absolute;left:3480;top:4604;width:1771;height:511">
              <v:textbox>
                <w:txbxContent>
                  <w:p w:rsidR="002B7290" w:rsidRDefault="002B7290" w:rsidP="002B7290">
                    <w:r>
                      <w:t>PH</w:t>
                    </w:r>
                    <w:r>
                      <w:rPr>
                        <w:rFonts w:hint="eastAsia"/>
                      </w:rPr>
                      <w:t>回调</w:t>
                    </w:r>
                  </w:p>
                </w:txbxContent>
              </v:textbox>
            </v:shape>
            <v:shape id="_x0000_s1035" type="#_x0000_t202" style="position:absolute;left:5789;top:4604;width:1771;height:511">
              <v:textbox>
                <w:txbxContent>
                  <w:p w:rsidR="002B7290" w:rsidRDefault="002B7290" w:rsidP="002B7290">
                    <w:r>
                      <w:rPr>
                        <w:rFonts w:hint="eastAsia"/>
                      </w:rPr>
                      <w:t>达标排放</w:t>
                    </w:r>
                  </w:p>
                </w:txbxContent>
              </v:textbox>
            </v:shape>
            <v:shapetype id="_x0000_t32" coordsize="21600,21600" o:spt="32" o:oned="t" path="m,l21600,21600e" filled="f">
              <v:path arrowok="t" fillok="f" o:connecttype="none"/>
              <o:lock v:ext="edit" shapetype="t"/>
            </v:shapetype>
            <v:shape id="_x0000_s1036" type="#_x0000_t32" style="position:absolute;left:5251;top:2654;width:539;height:1;flip:y" o:connectortype="straight">
              <v:stroke endarrow="block"/>
            </v:shape>
            <v:shape id="_x0000_s1037" type="#_x0000_t32" style="position:absolute;left:7560;top:2654;width:390;height:1" o:connectortype="straight">
              <v:stroke endarrow="block"/>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1038" type="#_x0000_t36" style="position:absolute;left:3480;top:2655;width:6241;height:1132;flip:x" o:connectortype="elbow" adj="-1242,10705,22846">
              <v:stroke endarrow="block"/>
            </v:shape>
            <v:shape id="_x0000_s1039" type="#_x0000_t32" style="position:absolute;left:5251;top:3787;width:614;height:1" o:connectortype="straight">
              <v:stroke endarrow="block"/>
            </v:shape>
            <v:shape id="_x0000_s1040" type="#_x0000_t32" style="position:absolute;left:7636;top:3787;width:449;height:1" o:connectortype="straight">
              <v:stroke endarrow="block"/>
            </v:shape>
            <v:shape id="_x0000_s1041" type="#_x0000_t36" style="position:absolute;left:3480;top:3787;width:6376;height:1073;flip:x" o:connectortype="elbow" adj="-1216,10870,22820">
              <v:stroke endarrow="block"/>
            </v:shape>
            <v:shape id="_x0000_s1042" type="#_x0000_t32" style="position:absolute;left:5251;top:4860;width:538;height:1" o:connectortype="straight">
              <v:stroke endarrow="block"/>
            </v:shape>
            <w10:wrap type="none"/>
            <w10:anchorlock/>
          </v:group>
        </w:pict>
      </w:r>
    </w:p>
    <w:p w:rsidR="002B7290" w:rsidRDefault="002B7290" w:rsidP="002B7290">
      <w:pPr>
        <w:pStyle w:val="a4"/>
        <w:spacing w:before="156" w:line="360" w:lineRule="auto"/>
        <w:ind w:firstLine="482"/>
        <w:jc w:val="center"/>
        <w:rPr>
          <w:b/>
          <w:szCs w:val="24"/>
        </w:rPr>
      </w:pPr>
      <w:r>
        <w:rPr>
          <w:rFonts w:hint="eastAsia"/>
          <w:b/>
          <w:szCs w:val="24"/>
        </w:rPr>
        <w:t>图</w:t>
      </w:r>
      <w:r>
        <w:rPr>
          <w:b/>
          <w:szCs w:val="24"/>
        </w:rPr>
        <w:t xml:space="preserve">1  </w:t>
      </w:r>
      <w:r>
        <w:rPr>
          <w:rFonts w:hint="eastAsia"/>
          <w:b/>
          <w:szCs w:val="24"/>
        </w:rPr>
        <w:t>废水处理工艺流程图</w:t>
      </w:r>
    </w:p>
    <w:p w:rsidR="002B7290" w:rsidRDefault="002B7290" w:rsidP="002B7290">
      <w:pPr>
        <w:pStyle w:val="a4"/>
        <w:spacing w:before="156" w:line="360" w:lineRule="auto"/>
        <w:ind w:firstLine="480"/>
        <w:rPr>
          <w:szCs w:val="24"/>
        </w:rPr>
      </w:pPr>
      <w:r>
        <w:rPr>
          <w:szCs w:val="24"/>
        </w:rPr>
        <w:t>2</w:t>
      </w:r>
      <w:r>
        <w:rPr>
          <w:rFonts w:hint="eastAsia"/>
          <w:szCs w:val="24"/>
        </w:rPr>
        <w:t>）噪声</w:t>
      </w:r>
    </w:p>
    <w:p w:rsidR="002B7290" w:rsidRDefault="002B7290" w:rsidP="002B7290">
      <w:pPr>
        <w:pStyle w:val="a4"/>
        <w:spacing w:before="156" w:line="360" w:lineRule="auto"/>
        <w:ind w:firstLine="480"/>
        <w:rPr>
          <w:szCs w:val="24"/>
        </w:rPr>
      </w:pPr>
      <w:r>
        <w:rPr>
          <w:rFonts w:hint="eastAsia"/>
          <w:szCs w:val="24"/>
        </w:rPr>
        <w:lastRenderedPageBreak/>
        <w:t>单位无高噪音设备，噪声主要来自备用发电机和空调冷水机组等设备。备用发电机房位于地下室，且采取了有效地隔声措施，对</w:t>
      </w:r>
      <w:proofErr w:type="gramStart"/>
      <w:r>
        <w:rPr>
          <w:rFonts w:hint="eastAsia"/>
          <w:szCs w:val="24"/>
        </w:rPr>
        <w:t>地面声</w:t>
      </w:r>
      <w:proofErr w:type="gramEnd"/>
      <w:r>
        <w:rPr>
          <w:rFonts w:hint="eastAsia"/>
          <w:szCs w:val="24"/>
        </w:rPr>
        <w:t>环境产生影响较小。空调冷水机组位于楼顶，噪声可控制在</w:t>
      </w:r>
      <w:r>
        <w:rPr>
          <w:szCs w:val="24"/>
        </w:rPr>
        <w:t>47dB(A)</w:t>
      </w:r>
      <w:r>
        <w:rPr>
          <w:rFonts w:hint="eastAsia"/>
          <w:szCs w:val="24"/>
        </w:rPr>
        <w:t>，对周围环境没有明显的影响。</w:t>
      </w:r>
    </w:p>
    <w:p w:rsidR="002B7290" w:rsidRDefault="002B7290" w:rsidP="002B7290">
      <w:pPr>
        <w:pStyle w:val="a4"/>
        <w:spacing w:before="156" w:line="360" w:lineRule="auto"/>
        <w:ind w:firstLine="480"/>
        <w:rPr>
          <w:szCs w:val="24"/>
        </w:rPr>
      </w:pPr>
      <w:r>
        <w:rPr>
          <w:szCs w:val="24"/>
        </w:rPr>
        <w:t>3</w:t>
      </w:r>
      <w:r>
        <w:rPr>
          <w:rFonts w:hint="eastAsia"/>
          <w:szCs w:val="24"/>
        </w:rPr>
        <w:t>）固体废弃物</w:t>
      </w:r>
    </w:p>
    <w:p w:rsidR="002B7290" w:rsidRDefault="002B7290" w:rsidP="002B7290">
      <w:pPr>
        <w:pStyle w:val="a4"/>
        <w:spacing w:before="156" w:line="360" w:lineRule="auto"/>
        <w:ind w:firstLine="480"/>
        <w:rPr>
          <w:szCs w:val="24"/>
        </w:rPr>
      </w:pPr>
      <w:r>
        <w:rPr>
          <w:rFonts w:hint="eastAsia"/>
          <w:szCs w:val="24"/>
        </w:rPr>
        <w:t>固体废弃物可分为一般固体废物、危险废物两类。一般固体废物包括生活和办公垃圾、报废的玻璃器皿、经灭活和消毒处理后的动物尸体、报废菌种和培养基，收集后交由有医疗废物处理资质的单位深圳市益盛环保技术有限公司处理。</w:t>
      </w:r>
    </w:p>
    <w:p w:rsidR="002B7290" w:rsidRDefault="002B7290" w:rsidP="002B7290">
      <w:pPr>
        <w:pStyle w:val="a4"/>
        <w:spacing w:before="156" w:line="360" w:lineRule="auto"/>
        <w:ind w:firstLine="480"/>
        <w:rPr>
          <w:szCs w:val="24"/>
        </w:rPr>
      </w:pPr>
      <w:r>
        <w:rPr>
          <w:rFonts w:hint="eastAsia"/>
          <w:szCs w:val="24"/>
        </w:rPr>
        <w:t>危险废物包括有机废液、色谱柱废有机载体、色谱柱清洗产生的废有机溶剂，集中收集后交由深圳市危险废物处理站有限公司处理处置。</w:t>
      </w:r>
    </w:p>
    <w:p w:rsidR="002B7290" w:rsidRDefault="002B7290" w:rsidP="002B7290">
      <w:pPr>
        <w:pStyle w:val="a3"/>
        <w:spacing w:line="390" w:lineRule="atLeast"/>
        <w:jc w:val="both"/>
        <w:rPr>
          <w:color w:val="FF0000"/>
          <w:sz w:val="21"/>
          <w:szCs w:val="21"/>
        </w:rPr>
      </w:pPr>
      <w:r>
        <w:rPr>
          <w:rFonts w:hint="eastAsia"/>
          <w:color w:val="FF0000"/>
          <w:sz w:val="21"/>
          <w:szCs w:val="21"/>
        </w:rPr>
        <w:t>（三）防治污染设施的建设和运行情况</w:t>
      </w:r>
    </w:p>
    <w:p w:rsidR="002B7290" w:rsidRDefault="002B7290" w:rsidP="002B7290">
      <w:pPr>
        <w:spacing w:line="360" w:lineRule="auto"/>
        <w:ind w:firstLine="570"/>
        <w:rPr>
          <w:rFonts w:hint="eastAsia"/>
          <w:sz w:val="24"/>
        </w:rPr>
      </w:pPr>
      <w:r>
        <w:rPr>
          <w:rFonts w:hAnsi="宋体" w:hint="eastAsia"/>
          <w:sz w:val="24"/>
        </w:rPr>
        <w:t>预防实验废水超标排放的措施主要有：</w:t>
      </w:r>
    </w:p>
    <w:p w:rsidR="002B7290" w:rsidRDefault="002B7290" w:rsidP="002B7290">
      <w:pPr>
        <w:spacing w:line="360" w:lineRule="auto"/>
        <w:ind w:firstLine="570"/>
        <w:rPr>
          <w:sz w:val="24"/>
        </w:rPr>
      </w:pPr>
      <w:r>
        <w:rPr>
          <w:sz w:val="24"/>
        </w:rPr>
        <w:t>1</w:t>
      </w:r>
      <w:r>
        <w:rPr>
          <w:rFonts w:hAnsi="宋体" w:hint="eastAsia"/>
          <w:sz w:val="24"/>
        </w:rPr>
        <w:t>）按照环保主管部门的规定，严格实行废水的总量控制量、废水量与污水处理站的处理能力合理匹配。</w:t>
      </w:r>
    </w:p>
    <w:p w:rsidR="002B7290" w:rsidRDefault="002B7290" w:rsidP="002B7290">
      <w:pPr>
        <w:spacing w:line="360" w:lineRule="auto"/>
        <w:ind w:firstLine="570"/>
        <w:rPr>
          <w:sz w:val="24"/>
        </w:rPr>
      </w:pPr>
      <w:r>
        <w:rPr>
          <w:sz w:val="24"/>
        </w:rPr>
        <w:t>2</w:t>
      </w:r>
      <w:r>
        <w:rPr>
          <w:rFonts w:hAnsi="宋体" w:hint="eastAsia"/>
          <w:sz w:val="24"/>
        </w:rPr>
        <w:t>）废水处理站加强与负责实验室检测部门的信息沟通，当废水量或污染因子浓度可能突然升高时提前发出预警信息。</w:t>
      </w:r>
    </w:p>
    <w:p w:rsidR="002B7290" w:rsidRDefault="002B7290" w:rsidP="002B7290">
      <w:pPr>
        <w:spacing w:line="360" w:lineRule="auto"/>
        <w:ind w:firstLine="570"/>
        <w:rPr>
          <w:sz w:val="24"/>
        </w:rPr>
      </w:pPr>
      <w:r>
        <w:rPr>
          <w:sz w:val="24"/>
        </w:rPr>
        <w:t>3</w:t>
      </w:r>
      <w:r>
        <w:rPr>
          <w:rFonts w:hAnsi="宋体" w:hint="eastAsia"/>
          <w:sz w:val="24"/>
        </w:rPr>
        <w:t>）加强废水处理设备设施及废水管道的维护、管理，发现故障及时修复。</w:t>
      </w:r>
    </w:p>
    <w:p w:rsidR="002B7290" w:rsidRDefault="002B7290" w:rsidP="002B7290">
      <w:pPr>
        <w:spacing w:line="360" w:lineRule="auto"/>
        <w:ind w:firstLine="570"/>
        <w:rPr>
          <w:sz w:val="24"/>
        </w:rPr>
      </w:pPr>
      <w:r>
        <w:rPr>
          <w:sz w:val="24"/>
        </w:rPr>
        <w:t>4</w:t>
      </w:r>
      <w:r>
        <w:rPr>
          <w:rFonts w:hAnsi="宋体" w:hint="eastAsia"/>
          <w:sz w:val="24"/>
        </w:rPr>
        <w:t>）结合实际，制定科学的废水处理操作规程，实行标准化操作；操作人员外</w:t>
      </w:r>
      <w:proofErr w:type="gramStart"/>
      <w:r>
        <w:rPr>
          <w:rFonts w:hAnsi="宋体" w:hint="eastAsia"/>
          <w:sz w:val="24"/>
        </w:rPr>
        <w:t>送培训</w:t>
      </w:r>
      <w:proofErr w:type="gramEnd"/>
      <w:r>
        <w:rPr>
          <w:rFonts w:hAnsi="宋体" w:hint="eastAsia"/>
          <w:sz w:val="24"/>
        </w:rPr>
        <w:t>合格，持证上岗。</w:t>
      </w:r>
    </w:p>
    <w:p w:rsidR="002B7290" w:rsidRDefault="002B7290" w:rsidP="002B7290">
      <w:pPr>
        <w:spacing w:line="360" w:lineRule="auto"/>
        <w:ind w:firstLine="570"/>
        <w:rPr>
          <w:sz w:val="24"/>
        </w:rPr>
      </w:pPr>
      <w:r>
        <w:rPr>
          <w:sz w:val="24"/>
        </w:rPr>
        <w:t>5</w:t>
      </w:r>
      <w:r>
        <w:rPr>
          <w:rFonts w:hAnsi="宋体" w:hint="eastAsia"/>
          <w:sz w:val="24"/>
        </w:rPr>
        <w:t>）做好总排口的污染因子监测，发现异常及时处理。</w:t>
      </w:r>
    </w:p>
    <w:p w:rsidR="002B7290" w:rsidRDefault="002B7290" w:rsidP="002B7290">
      <w:pPr>
        <w:spacing w:line="360" w:lineRule="auto"/>
        <w:ind w:firstLine="570"/>
        <w:rPr>
          <w:rFonts w:hAnsi="宋体"/>
          <w:sz w:val="24"/>
        </w:rPr>
      </w:pPr>
      <w:r>
        <w:rPr>
          <w:sz w:val="24"/>
        </w:rPr>
        <w:t>6</w:t>
      </w:r>
      <w:r>
        <w:rPr>
          <w:rFonts w:hAnsi="宋体" w:hint="eastAsia"/>
          <w:sz w:val="24"/>
        </w:rPr>
        <w:t>）定期清理废水池的污泥，并妥善存放、转运。</w:t>
      </w:r>
    </w:p>
    <w:p w:rsidR="002B7290" w:rsidRDefault="002B7290" w:rsidP="002B7290">
      <w:pPr>
        <w:spacing w:line="360" w:lineRule="auto"/>
        <w:ind w:firstLine="570"/>
        <w:rPr>
          <w:rFonts w:hAnsi="宋体"/>
          <w:sz w:val="24"/>
        </w:rPr>
      </w:pPr>
      <w:r>
        <w:rPr>
          <w:rFonts w:hAnsi="宋体"/>
          <w:sz w:val="24"/>
        </w:rPr>
        <w:t>7</w:t>
      </w:r>
      <w:r>
        <w:rPr>
          <w:rFonts w:hAnsi="宋体" w:hint="eastAsia"/>
          <w:sz w:val="24"/>
        </w:rPr>
        <w:t>）单位常规废水监测项目：</w:t>
      </w:r>
      <w:r>
        <w:rPr>
          <w:sz w:val="24"/>
        </w:rPr>
        <w:t>pH</w:t>
      </w:r>
      <w:r>
        <w:rPr>
          <w:rFonts w:hint="eastAsia"/>
          <w:sz w:val="24"/>
        </w:rPr>
        <w:t>、</w:t>
      </w:r>
      <w:r>
        <w:rPr>
          <w:sz w:val="24"/>
        </w:rPr>
        <w:t>COD</w:t>
      </w:r>
      <w:r>
        <w:rPr>
          <w:rFonts w:hint="eastAsia"/>
          <w:sz w:val="24"/>
        </w:rPr>
        <w:t>、</w:t>
      </w:r>
      <w:r>
        <w:rPr>
          <w:rFonts w:hAnsi="宋体"/>
          <w:sz w:val="24"/>
        </w:rPr>
        <w:t>BOD</w:t>
      </w:r>
      <w:r>
        <w:rPr>
          <w:rFonts w:hAnsi="宋体"/>
          <w:sz w:val="24"/>
          <w:vertAlign w:val="subscript"/>
        </w:rPr>
        <w:t>5</w:t>
      </w:r>
      <w:r>
        <w:rPr>
          <w:rFonts w:hAnsi="宋体" w:hint="eastAsia"/>
          <w:sz w:val="24"/>
        </w:rPr>
        <w:t>、</w:t>
      </w:r>
      <w:r>
        <w:rPr>
          <w:rFonts w:hint="eastAsia"/>
          <w:sz w:val="24"/>
        </w:rPr>
        <w:t>总铬、总铜、总锌、总铅、</w:t>
      </w:r>
      <w:r>
        <w:rPr>
          <w:rFonts w:hAnsi="宋体" w:hint="eastAsia"/>
          <w:sz w:val="24"/>
        </w:rPr>
        <w:t>类大肠菌群</w:t>
      </w:r>
      <w:r>
        <w:rPr>
          <w:rFonts w:hint="eastAsia"/>
          <w:sz w:val="24"/>
        </w:rPr>
        <w:t>等</w:t>
      </w:r>
      <w:r>
        <w:rPr>
          <w:rFonts w:hAnsi="宋体" w:hint="eastAsia"/>
          <w:sz w:val="24"/>
        </w:rPr>
        <w:t>每天一次。</w:t>
      </w:r>
    </w:p>
    <w:p w:rsidR="002B7290" w:rsidRDefault="002B7290" w:rsidP="002B7290">
      <w:pPr>
        <w:spacing w:line="360" w:lineRule="auto"/>
        <w:ind w:firstLine="570"/>
        <w:rPr>
          <w:sz w:val="24"/>
        </w:rPr>
      </w:pPr>
      <w:r>
        <w:rPr>
          <w:rFonts w:hAnsi="宋体"/>
          <w:sz w:val="24"/>
        </w:rPr>
        <w:t>8</w:t>
      </w:r>
      <w:r>
        <w:rPr>
          <w:rFonts w:hAnsi="宋体" w:hint="eastAsia"/>
          <w:sz w:val="24"/>
        </w:rPr>
        <w:t>）市环境监测站例行采样监测项目（每月一次）</w:t>
      </w:r>
      <w:r>
        <w:rPr>
          <w:sz w:val="24"/>
        </w:rPr>
        <w:t>pH</w:t>
      </w:r>
      <w:r>
        <w:rPr>
          <w:rFonts w:hAnsi="宋体" w:hint="eastAsia"/>
          <w:sz w:val="24"/>
        </w:rPr>
        <w:t>、</w:t>
      </w:r>
      <w:r>
        <w:rPr>
          <w:sz w:val="24"/>
        </w:rPr>
        <w:t>COD</w:t>
      </w:r>
      <w:r>
        <w:rPr>
          <w:rFonts w:hAnsi="宋体" w:hint="eastAsia"/>
          <w:sz w:val="24"/>
        </w:rPr>
        <w:t>、</w:t>
      </w:r>
      <w:r>
        <w:rPr>
          <w:rFonts w:hAnsi="宋体"/>
          <w:sz w:val="24"/>
        </w:rPr>
        <w:t>BOD</w:t>
      </w:r>
      <w:r>
        <w:rPr>
          <w:rFonts w:hAnsi="宋体"/>
          <w:sz w:val="24"/>
          <w:vertAlign w:val="subscript"/>
        </w:rPr>
        <w:t>5</w:t>
      </w:r>
      <w:r>
        <w:rPr>
          <w:rFonts w:hAnsi="宋体" w:hint="eastAsia"/>
          <w:sz w:val="24"/>
        </w:rPr>
        <w:t>、氨氮、类大肠菌群。</w:t>
      </w:r>
    </w:p>
    <w:p w:rsidR="002B7290" w:rsidRDefault="002B7290" w:rsidP="002B7290">
      <w:pPr>
        <w:pStyle w:val="2"/>
        <w:spacing w:before="0" w:after="0" w:line="360" w:lineRule="auto"/>
        <w:rPr>
          <w:rFonts w:ascii="Times New Roman" w:hAnsi="Times New Roman"/>
          <w:sz w:val="30"/>
          <w:szCs w:val="30"/>
        </w:rPr>
      </w:pPr>
      <w:bookmarkStart w:id="0" w:name="_Toc377973541"/>
      <w:bookmarkStart w:id="1" w:name="_Toc354586484"/>
      <w:r>
        <w:rPr>
          <w:rFonts w:ascii="Times New Roman" w:hAnsi="Times New Roman" w:hint="eastAsia"/>
          <w:sz w:val="30"/>
          <w:szCs w:val="30"/>
        </w:rPr>
        <w:lastRenderedPageBreak/>
        <w:t>附件</w:t>
      </w:r>
      <w:r>
        <w:rPr>
          <w:rFonts w:ascii="Times New Roman" w:eastAsia="仿宋" w:hAnsi="Times New Roman"/>
          <w:sz w:val="28"/>
          <w:szCs w:val="28"/>
          <w:lang w:eastAsia="zh-CN"/>
        </w:rPr>
        <w:t>1</w:t>
      </w:r>
      <w:r>
        <w:rPr>
          <w:rFonts w:ascii="Times New Roman" w:eastAsia="仿宋" w:hAnsi="Times New Roman" w:hint="eastAsia"/>
          <w:sz w:val="28"/>
          <w:szCs w:val="28"/>
          <w:lang w:eastAsia="zh-CN"/>
        </w:rPr>
        <w:t>：药检院</w:t>
      </w:r>
      <w:proofErr w:type="spellStart"/>
      <w:r>
        <w:rPr>
          <w:rFonts w:ascii="Times New Roman" w:hAnsi="Times New Roman" w:hint="eastAsia"/>
          <w:sz w:val="30"/>
          <w:szCs w:val="30"/>
        </w:rPr>
        <w:t>雨水管网平面图</w:t>
      </w:r>
      <w:bookmarkEnd w:id="0"/>
      <w:proofErr w:type="spellEnd"/>
    </w:p>
    <w:p w:rsidR="002B7290" w:rsidRDefault="002B7290" w:rsidP="002B7290">
      <w:pPr>
        <w:jc w:val="center"/>
        <w:rPr>
          <w:b/>
          <w:bCs/>
          <w:szCs w:val="21"/>
        </w:rPr>
      </w:pPr>
      <w:r>
        <w:pict>
          <v:shape id="_x0000_s1051" type="#_x0000_t202" style="position:absolute;left:0;text-align:left;margin-left:286.25pt;margin-top:396.2pt;width:49.65pt;height:39.4pt;z-index:251658240" fillcolor="#548dd4" strokeweight="2.25pt">
            <v:textbox>
              <w:txbxContent>
                <w:p w:rsidR="002B7290" w:rsidRDefault="002B7290" w:rsidP="002B7290">
                  <w:pPr>
                    <w:jc w:val="left"/>
                    <w:rPr>
                      <w:rFonts w:ascii="黑体" w:eastAsia="黑体" w:hAnsi="黑体"/>
                      <w:b/>
                    </w:rPr>
                  </w:pPr>
                  <w:r>
                    <w:rPr>
                      <w:rFonts w:ascii="黑体" w:eastAsia="黑体" w:hAnsi="黑体" w:hint="eastAsia"/>
                      <w:b/>
                    </w:rPr>
                    <w:t>雨水排放口</w:t>
                  </w:r>
                </w:p>
              </w:txbxContent>
            </v:textbox>
          </v:shape>
        </w:pict>
      </w:r>
      <w:r>
        <w:pict>
          <v:shape id="_x0000_s1050" type="#_x0000_t32" style="position:absolute;left:0;text-align:left;margin-left:96.1pt;margin-top:139.05pt;width:166.4pt;height:9.05pt;flip:y;z-index:251658240" o:connectortype="straight" strokecolor="#548dd4" strokeweight="4.5pt"/>
        </w:pict>
      </w:r>
      <w:r>
        <w:pict>
          <v:shape id="_x0000_s1049" type="#_x0000_t32" style="position:absolute;left:0;text-align:left;margin-left:330.45pt;margin-top:32.55pt;width:65.55pt;height:362.8pt;flip:x;z-index:251658240" o:connectortype="straight" strokecolor="#548dd4" strokeweight="4.5pt">
            <v:stroke endarrow="block"/>
          </v:shape>
        </w:pict>
      </w:r>
      <w:r>
        <w:pict>
          <v:shape id="_x0000_s1048" type="#_x0000_t32" style="position:absolute;left:0;text-align:left;margin-left:32.25pt;margin-top:406.8pt;width:245.2pt;height:6.25pt;z-index:251658240" o:connectortype="straight" strokecolor="#548dd4" strokeweight="4.5pt">
            <v:stroke endarrow="block"/>
          </v:shape>
        </w:pict>
      </w:r>
      <w:r>
        <w:pict>
          <v:shape id="_x0000_s1047" type="#_x0000_t32" style="position:absolute;left:0;text-align:left;margin-left:267pt;margin-top:223.05pt;width:94.5pt;height:5.25pt;z-index:251658240" o:connectortype="straight" strokecolor="#548dd4" strokeweight="4.5pt"/>
        </w:pict>
      </w:r>
      <w:r>
        <w:pict>
          <v:shape id="_x0000_s1046" type="#_x0000_t32" style="position:absolute;left:0;text-align:left;margin-left:262.5pt;margin-top:139.05pt;width:4.5pt;height:84pt;z-index:251658240" o:connectortype="straight" strokecolor="#548dd4" strokeweight="4.5pt"/>
        </w:pict>
      </w:r>
      <w:r>
        <w:pict>
          <v:shape id="_x0000_s1045" type="#_x0000_t32" style="position:absolute;left:0;text-align:left;margin-left:2in;margin-top:32.55pt;width:252pt;height:0;z-index:251658240" o:connectortype="straight" strokecolor="#548dd4" strokeweight="4.5pt"/>
        </w:pict>
      </w:r>
      <w:r>
        <w:pict>
          <v:shape id="_x0000_s1044" type="#_x0000_t32" style="position:absolute;left:0;text-align:left;margin-left:122.25pt;margin-top:32.55pt;width:21.75pt;height:9pt;flip:y;z-index:251658240" o:connectortype="straight" strokecolor="#548dd4" strokeweight="4.5pt"/>
        </w:pict>
      </w:r>
      <w:r>
        <w:pict>
          <v:shape id="_x0000_s1043" type="#_x0000_t32" style="position:absolute;left:0;text-align:left;margin-left:32.25pt;margin-top:41.55pt;width:90pt;height:365.25pt;flip:x;z-index:251658240" o:connectortype="straight" strokecolor="#548dd4" strokeweight="4.5pt"/>
        </w:pict>
      </w:r>
      <w:r>
        <w:rPr>
          <w:b/>
          <w:bCs/>
          <w:noProof/>
          <w:szCs w:val="21"/>
        </w:rPr>
        <w:drawing>
          <wp:inline distT="0" distB="0" distL="0" distR="0">
            <wp:extent cx="5295265" cy="5943600"/>
            <wp:effectExtent l="1905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295265" cy="5943600"/>
                    </a:xfrm>
                    <a:prstGeom prst="rect">
                      <a:avLst/>
                    </a:prstGeom>
                    <a:noFill/>
                    <a:ln w="9525">
                      <a:noFill/>
                      <a:miter lim="800000"/>
                      <a:headEnd/>
                      <a:tailEnd/>
                    </a:ln>
                  </pic:spPr>
                </pic:pic>
              </a:graphicData>
            </a:graphic>
          </wp:inline>
        </w:drawing>
      </w:r>
    </w:p>
    <w:p w:rsidR="002B7290" w:rsidRDefault="002B7290" w:rsidP="002B7290">
      <w:pPr>
        <w:jc w:val="center"/>
        <w:rPr>
          <w:b/>
          <w:bCs/>
          <w:sz w:val="24"/>
          <w:szCs w:val="21"/>
        </w:rPr>
      </w:pPr>
      <w:r>
        <w:pict>
          <v:shape id="_x0000_s1052" type="#_x0000_t32" style="position:absolute;left:0;text-align:left;margin-left:251.65pt;margin-top:8.85pt;width:44.85pt;height:0;z-index:251658240" o:connectortype="straight" strokecolor="#548dd4" strokeweight="3pt"/>
        </w:pict>
      </w:r>
      <w:r>
        <w:rPr>
          <w:rFonts w:hint="eastAsia"/>
          <w:b/>
          <w:bCs/>
          <w:sz w:val="24"/>
          <w:szCs w:val="21"/>
        </w:rPr>
        <w:t>雨水管网图</w:t>
      </w:r>
    </w:p>
    <w:p w:rsidR="002B7290" w:rsidRDefault="002B7290" w:rsidP="002B7290">
      <w:pPr>
        <w:jc w:val="center"/>
        <w:rPr>
          <w:b/>
          <w:bCs/>
          <w:szCs w:val="21"/>
        </w:rPr>
      </w:pPr>
    </w:p>
    <w:p w:rsidR="002B7290" w:rsidRDefault="002B7290" w:rsidP="002B7290">
      <w:pPr>
        <w:widowControl/>
        <w:jc w:val="left"/>
        <w:rPr>
          <w:b/>
          <w:bCs/>
          <w:szCs w:val="21"/>
        </w:rPr>
        <w:sectPr w:rsidR="002B7290">
          <w:pgSz w:w="11906" w:h="16838"/>
          <w:pgMar w:top="1440" w:right="1800" w:bottom="1440" w:left="1800" w:header="851" w:footer="992" w:gutter="0"/>
          <w:cols w:space="720"/>
          <w:docGrid w:type="lines" w:linePitch="312"/>
        </w:sectPr>
      </w:pPr>
    </w:p>
    <w:p w:rsidR="002B7290" w:rsidRDefault="002B7290" w:rsidP="002B7290">
      <w:pPr>
        <w:pStyle w:val="2"/>
        <w:spacing w:before="0" w:after="0" w:line="360" w:lineRule="auto"/>
        <w:rPr>
          <w:rFonts w:ascii="Times New Roman" w:hAnsi="Times New Roman"/>
          <w:sz w:val="30"/>
          <w:szCs w:val="30"/>
          <w:lang w:eastAsia="zh-CN"/>
        </w:rPr>
      </w:pPr>
      <w:bookmarkStart w:id="2" w:name="_Toc377973542"/>
      <w:r>
        <w:rPr>
          <w:rFonts w:ascii="Times New Roman" w:hAnsi="Times New Roman" w:hint="eastAsia"/>
          <w:sz w:val="30"/>
          <w:szCs w:val="30"/>
        </w:rPr>
        <w:lastRenderedPageBreak/>
        <w:t>附件</w:t>
      </w:r>
      <w:r>
        <w:rPr>
          <w:rFonts w:ascii="Times New Roman" w:hAnsi="Times New Roman"/>
          <w:sz w:val="30"/>
          <w:szCs w:val="30"/>
          <w:lang w:eastAsia="zh-CN"/>
        </w:rPr>
        <w:t xml:space="preserve">2  </w:t>
      </w:r>
      <w:r>
        <w:rPr>
          <w:rFonts w:ascii="Times New Roman" w:hAnsi="Times New Roman" w:hint="eastAsia"/>
          <w:sz w:val="30"/>
          <w:szCs w:val="30"/>
          <w:lang w:eastAsia="zh-CN"/>
        </w:rPr>
        <w:t>药检院</w:t>
      </w:r>
      <w:proofErr w:type="spellStart"/>
      <w:r>
        <w:rPr>
          <w:rFonts w:ascii="Times New Roman" w:hAnsi="Times New Roman" w:hint="eastAsia"/>
          <w:sz w:val="30"/>
          <w:szCs w:val="30"/>
        </w:rPr>
        <w:t>污水管网图</w:t>
      </w:r>
      <w:bookmarkEnd w:id="2"/>
      <w:proofErr w:type="spellEnd"/>
    </w:p>
    <w:p w:rsidR="002B7290" w:rsidRDefault="002B7290" w:rsidP="002B7290">
      <w:pPr>
        <w:rPr>
          <w:b/>
          <w:bCs/>
          <w:szCs w:val="21"/>
        </w:rPr>
      </w:pPr>
      <w:r>
        <w:pict>
          <v:shape id="_x0000_s1058" type="#_x0000_t32" style="position:absolute;left:0;text-align:left;margin-left:209.55pt;margin-top:99.2pt;width:14.25pt;height:114.8pt;flip:x y;z-index:251658240" o:connectortype="straight" strokecolor="#938953" strokeweight="3pt">
            <v:stroke endarrow="block"/>
          </v:shape>
        </w:pict>
      </w: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7" type="#_x0000_t34" style="position:absolute;left:0;text-align:left;margin-left:123.3pt;margin-top:209.95pt;width:104.6pt;height:78.8pt;rotation:90;z-index:251658240" o:connectortype="elbow" adj=",-82302,-62983" strokecolor="#938953" strokeweight="3pt"/>
        </w:pict>
      </w:r>
      <w:r>
        <w:pict>
          <v:shape id="_x0000_s1055" type="#_x0000_t32" style="position:absolute;left:0;text-align:left;margin-left:215pt;margin-top:197.05pt;width:21.7pt;height:0;flip:x;z-index:251658240" o:connectortype="straight" strokecolor="#938953" strokeweight="2.25pt"/>
        </w:pict>
      </w:r>
      <w:r>
        <w:pict>
          <v:shape id="_x0000_s1054" type="#_x0000_t32" style="position:absolute;left:0;text-align:left;margin-left:236.7pt;margin-top:197.05pt;width:4.75pt;height:120.2pt;flip:x y;z-index:251658240" o:connectortype="straight" strokecolor="#938953" strokeweight="3pt"/>
        </w:pict>
      </w:r>
      <w:r>
        <w:pict>
          <v:shape id="_x0000_s1056" type="#_x0000_t32" style="position:absolute;left:0;text-align:left;margin-left:206.15pt;margin-top:94.45pt;width:35.3pt;height:4.75pt;flip:x y;z-index:251658240" o:connectortype="straight" strokecolor="#938953" strokeweight="3pt">
            <v:stroke endarrow="block"/>
          </v:shape>
        </w:pict>
      </w:r>
      <w:r>
        <w:pict>
          <v:shape id="_x0000_s1053" type="#_x0000_t32" style="position:absolute;left:0;text-align:left;margin-left:184.4pt;margin-top:94.45pt;width:21.75pt;height:4.75pt;flip:y;z-index:251658240" o:connectortype="straight" strokecolor="#938953" strokeweight="3pt">
            <v:stroke endarrow="block"/>
          </v:shape>
        </w:pict>
      </w:r>
      <w:r>
        <w:rPr>
          <w:b/>
          <w:bCs/>
          <w:noProof/>
          <w:szCs w:val="21"/>
        </w:rPr>
        <w:drawing>
          <wp:inline distT="0" distB="0" distL="0" distR="0">
            <wp:extent cx="5273675" cy="6039485"/>
            <wp:effectExtent l="1905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273675" cy="6039485"/>
                    </a:xfrm>
                    <a:prstGeom prst="rect">
                      <a:avLst/>
                    </a:prstGeom>
                    <a:noFill/>
                    <a:ln w="9525">
                      <a:noFill/>
                      <a:miter lim="800000"/>
                      <a:headEnd/>
                      <a:tailEnd/>
                    </a:ln>
                  </pic:spPr>
                </pic:pic>
              </a:graphicData>
            </a:graphic>
          </wp:inline>
        </w:drawing>
      </w:r>
    </w:p>
    <w:p w:rsidR="002B7290" w:rsidRDefault="002B7290" w:rsidP="002B7290">
      <w:pPr>
        <w:jc w:val="center"/>
        <w:rPr>
          <w:sz w:val="24"/>
          <w:lang/>
        </w:rPr>
      </w:pPr>
      <w:r>
        <w:pict>
          <v:shape id="_x0000_s1059" type="#_x0000_t32" style="position:absolute;left:0;text-align:left;margin-left:251pt;margin-top:8.9pt;width:42.75pt;height:0;z-index:251658240" o:connectortype="straight" strokecolor="#938953" strokeweight="4.5pt"/>
        </w:pict>
      </w:r>
      <w:r>
        <w:rPr>
          <w:rFonts w:hint="eastAsia"/>
          <w:b/>
          <w:bCs/>
          <w:sz w:val="24"/>
          <w:szCs w:val="21"/>
        </w:rPr>
        <w:t>污水管网图</w:t>
      </w:r>
    </w:p>
    <w:p w:rsidR="002B7290" w:rsidRDefault="002B7290" w:rsidP="002B7290">
      <w:pPr>
        <w:widowControl/>
        <w:spacing w:line="360" w:lineRule="auto"/>
        <w:jc w:val="left"/>
        <w:rPr>
          <w:rFonts w:eastAsia="仿宋_GB2312"/>
          <w:kern w:val="0"/>
          <w:sz w:val="28"/>
          <w:szCs w:val="28"/>
        </w:rPr>
        <w:sectPr w:rsidR="002B7290">
          <w:pgSz w:w="11906" w:h="16838"/>
          <w:pgMar w:top="1440" w:right="1800" w:bottom="1440" w:left="1800" w:header="851" w:footer="992" w:gutter="0"/>
          <w:cols w:space="720"/>
          <w:docGrid w:type="lines" w:linePitch="312"/>
        </w:sectPr>
      </w:pPr>
    </w:p>
    <w:bookmarkEnd w:id="1"/>
    <w:p w:rsidR="002B7290" w:rsidRDefault="002B7290" w:rsidP="002B7290">
      <w:pPr>
        <w:spacing w:line="360" w:lineRule="auto"/>
        <w:rPr>
          <w:color w:val="FF0000"/>
          <w:szCs w:val="21"/>
        </w:rPr>
      </w:pPr>
      <w:r>
        <w:rPr>
          <w:rFonts w:hint="eastAsia"/>
          <w:color w:val="FF0000"/>
          <w:szCs w:val="21"/>
        </w:rPr>
        <w:lastRenderedPageBreak/>
        <w:t>（四）建设项目环境影响评价及其他环境保护行政许可情况</w:t>
      </w:r>
    </w:p>
    <w:p w:rsidR="002B7290" w:rsidRDefault="002B7290" w:rsidP="002B7290">
      <w:pPr>
        <w:spacing w:line="360" w:lineRule="auto"/>
        <w:rPr>
          <w:rFonts w:ascii="仿宋" w:eastAsia="仿宋" w:hAnsi="仿宋"/>
          <w:color w:val="000000"/>
          <w:sz w:val="28"/>
          <w:szCs w:val="28"/>
        </w:rPr>
      </w:pPr>
      <w:r>
        <w:rPr>
          <w:rFonts w:ascii="仿宋" w:eastAsia="仿宋" w:hAnsi="仿宋"/>
          <w:noProof/>
          <w:color w:val="000000"/>
          <w:sz w:val="28"/>
          <w:szCs w:val="28"/>
        </w:rPr>
        <w:drawing>
          <wp:inline distT="0" distB="0" distL="0" distR="0">
            <wp:extent cx="5273675" cy="7463790"/>
            <wp:effectExtent l="1905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73675" cy="7463790"/>
                    </a:xfrm>
                    <a:prstGeom prst="rect">
                      <a:avLst/>
                    </a:prstGeom>
                    <a:noFill/>
                    <a:ln w="9525">
                      <a:noFill/>
                      <a:miter lim="800000"/>
                      <a:headEnd/>
                      <a:tailEnd/>
                    </a:ln>
                  </pic:spPr>
                </pic:pic>
              </a:graphicData>
            </a:graphic>
          </wp:inline>
        </w:drawing>
      </w:r>
    </w:p>
    <w:p w:rsidR="002B7290" w:rsidRDefault="002B7290" w:rsidP="002B7290">
      <w:pPr>
        <w:spacing w:line="360" w:lineRule="auto"/>
        <w:rPr>
          <w:rFonts w:ascii="仿宋" w:eastAsia="仿宋" w:hAnsi="仿宋" w:hint="eastAsia"/>
          <w:color w:val="000000"/>
          <w:sz w:val="28"/>
          <w:szCs w:val="28"/>
        </w:rPr>
      </w:pPr>
    </w:p>
    <w:p w:rsidR="002B7290" w:rsidRDefault="002B7290" w:rsidP="002B7290">
      <w:pPr>
        <w:spacing w:line="360" w:lineRule="auto"/>
        <w:rPr>
          <w:rFonts w:ascii="仿宋" w:eastAsia="仿宋" w:hAnsi="仿宋" w:hint="eastAsia"/>
          <w:color w:val="000000"/>
          <w:sz w:val="28"/>
          <w:szCs w:val="28"/>
        </w:rPr>
      </w:pPr>
    </w:p>
    <w:p w:rsidR="002B7290" w:rsidRDefault="002B7290" w:rsidP="002B7290">
      <w:pPr>
        <w:spacing w:line="360" w:lineRule="auto"/>
        <w:rPr>
          <w:rFonts w:ascii="仿宋" w:eastAsia="仿宋" w:hAnsi="仿宋" w:hint="eastAsia"/>
          <w:color w:val="000000"/>
          <w:sz w:val="28"/>
          <w:szCs w:val="28"/>
        </w:rPr>
      </w:pPr>
      <w:r>
        <w:rPr>
          <w:rFonts w:ascii="仿宋" w:eastAsia="仿宋" w:hAnsi="仿宋"/>
          <w:noProof/>
          <w:color w:val="000000"/>
          <w:sz w:val="28"/>
          <w:szCs w:val="28"/>
        </w:rPr>
        <w:lastRenderedPageBreak/>
        <w:drawing>
          <wp:inline distT="0" distB="0" distL="0" distR="0">
            <wp:extent cx="5060950" cy="5677535"/>
            <wp:effectExtent l="1905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060950" cy="5677535"/>
                    </a:xfrm>
                    <a:prstGeom prst="rect">
                      <a:avLst/>
                    </a:prstGeom>
                    <a:noFill/>
                    <a:ln w="9525">
                      <a:noFill/>
                      <a:miter lim="800000"/>
                      <a:headEnd/>
                      <a:tailEnd/>
                    </a:ln>
                  </pic:spPr>
                </pic:pic>
              </a:graphicData>
            </a:graphic>
          </wp:inline>
        </w:drawing>
      </w:r>
    </w:p>
    <w:p w:rsidR="002B7290" w:rsidRDefault="002B7290" w:rsidP="002B7290">
      <w:pPr>
        <w:spacing w:line="360" w:lineRule="auto"/>
        <w:rPr>
          <w:rFonts w:ascii="仿宋" w:eastAsia="仿宋" w:hAnsi="仿宋" w:hint="eastAsia"/>
          <w:color w:val="000000"/>
          <w:sz w:val="28"/>
          <w:szCs w:val="28"/>
        </w:rPr>
      </w:pPr>
    </w:p>
    <w:p w:rsidR="002B7290" w:rsidRDefault="002B7290" w:rsidP="002B7290">
      <w:pPr>
        <w:spacing w:line="360" w:lineRule="auto"/>
        <w:rPr>
          <w:rFonts w:ascii="仿宋" w:eastAsia="仿宋" w:hAnsi="仿宋" w:hint="eastAsia"/>
          <w:color w:val="000000"/>
          <w:sz w:val="28"/>
          <w:szCs w:val="28"/>
        </w:rPr>
      </w:pPr>
    </w:p>
    <w:p w:rsidR="002B7290" w:rsidRDefault="002B7290" w:rsidP="002B7290">
      <w:pPr>
        <w:spacing w:line="360" w:lineRule="auto"/>
        <w:rPr>
          <w:rFonts w:ascii="仿宋" w:eastAsia="仿宋" w:hAnsi="仿宋" w:hint="eastAsia"/>
          <w:color w:val="000000"/>
          <w:sz w:val="28"/>
          <w:szCs w:val="28"/>
        </w:rPr>
      </w:pPr>
    </w:p>
    <w:p w:rsidR="002B7290" w:rsidRDefault="002B7290" w:rsidP="002B7290">
      <w:pPr>
        <w:spacing w:line="360" w:lineRule="auto"/>
        <w:rPr>
          <w:rFonts w:ascii="仿宋" w:eastAsia="仿宋" w:hAnsi="仿宋" w:hint="eastAsia"/>
          <w:color w:val="000000"/>
          <w:sz w:val="28"/>
          <w:szCs w:val="28"/>
        </w:rPr>
      </w:pPr>
    </w:p>
    <w:p w:rsidR="002B7290" w:rsidRDefault="002B7290" w:rsidP="002B7290">
      <w:pPr>
        <w:spacing w:line="360" w:lineRule="auto"/>
        <w:rPr>
          <w:rFonts w:ascii="仿宋" w:eastAsia="仿宋" w:hAnsi="仿宋" w:hint="eastAsia"/>
          <w:color w:val="000000"/>
          <w:sz w:val="28"/>
          <w:szCs w:val="28"/>
        </w:rPr>
      </w:pPr>
    </w:p>
    <w:p w:rsidR="002B7290" w:rsidRDefault="002B7290" w:rsidP="002B7290">
      <w:pPr>
        <w:spacing w:line="360" w:lineRule="auto"/>
        <w:rPr>
          <w:rFonts w:ascii="仿宋" w:eastAsia="仿宋" w:hAnsi="仿宋" w:hint="eastAsia"/>
          <w:color w:val="000000"/>
          <w:sz w:val="28"/>
          <w:szCs w:val="28"/>
        </w:rPr>
      </w:pPr>
    </w:p>
    <w:p w:rsidR="002B7290" w:rsidRDefault="002B7290" w:rsidP="002B7290">
      <w:pPr>
        <w:spacing w:line="360" w:lineRule="auto"/>
        <w:rPr>
          <w:rFonts w:ascii="仿宋" w:eastAsia="仿宋" w:hAnsi="仿宋" w:hint="eastAsia"/>
          <w:color w:val="000000"/>
          <w:sz w:val="28"/>
          <w:szCs w:val="28"/>
        </w:rPr>
      </w:pPr>
    </w:p>
    <w:p w:rsidR="002B7290" w:rsidRDefault="002B7290" w:rsidP="002B7290">
      <w:pPr>
        <w:spacing w:line="360" w:lineRule="auto"/>
        <w:rPr>
          <w:rFonts w:ascii="仿宋" w:eastAsia="仿宋" w:hAnsi="仿宋" w:hint="eastAsia"/>
          <w:color w:val="000000"/>
          <w:sz w:val="28"/>
          <w:szCs w:val="28"/>
        </w:rPr>
      </w:pPr>
    </w:p>
    <w:p w:rsidR="002B7290" w:rsidRDefault="002B7290" w:rsidP="002B7290">
      <w:pPr>
        <w:spacing w:line="360" w:lineRule="auto"/>
        <w:rPr>
          <w:rFonts w:ascii="仿宋" w:eastAsia="仿宋" w:hAnsi="仿宋" w:hint="eastAsia"/>
          <w:color w:val="000000"/>
          <w:sz w:val="28"/>
          <w:szCs w:val="28"/>
        </w:rPr>
      </w:pPr>
      <w:r>
        <w:rPr>
          <w:rFonts w:ascii="仿宋" w:eastAsia="仿宋" w:hAnsi="仿宋"/>
          <w:noProof/>
          <w:color w:val="000000"/>
          <w:sz w:val="28"/>
          <w:szCs w:val="28"/>
        </w:rPr>
        <w:lastRenderedPageBreak/>
        <w:drawing>
          <wp:inline distT="0" distB="0" distL="0" distR="0">
            <wp:extent cx="5262880" cy="735774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262880" cy="7357745"/>
                    </a:xfrm>
                    <a:prstGeom prst="rect">
                      <a:avLst/>
                    </a:prstGeom>
                    <a:noFill/>
                    <a:ln w="9525">
                      <a:noFill/>
                      <a:miter lim="800000"/>
                      <a:headEnd/>
                      <a:tailEnd/>
                    </a:ln>
                  </pic:spPr>
                </pic:pic>
              </a:graphicData>
            </a:graphic>
          </wp:inline>
        </w:drawing>
      </w:r>
    </w:p>
    <w:p w:rsidR="002B7290" w:rsidRDefault="002B7290" w:rsidP="002B7290">
      <w:pPr>
        <w:spacing w:line="360" w:lineRule="auto"/>
        <w:rPr>
          <w:rFonts w:ascii="仿宋" w:eastAsia="仿宋" w:hAnsi="仿宋" w:hint="eastAsia"/>
          <w:color w:val="000000"/>
          <w:sz w:val="28"/>
          <w:szCs w:val="28"/>
        </w:rPr>
      </w:pPr>
      <w:r>
        <w:rPr>
          <w:rFonts w:ascii="仿宋" w:eastAsia="仿宋" w:hAnsi="仿宋"/>
          <w:noProof/>
          <w:color w:val="000000"/>
          <w:sz w:val="28"/>
          <w:szCs w:val="28"/>
        </w:rPr>
        <w:lastRenderedPageBreak/>
        <w:drawing>
          <wp:inline distT="0" distB="0" distL="0" distR="0">
            <wp:extent cx="5262880" cy="275399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62880" cy="2753995"/>
                    </a:xfrm>
                    <a:prstGeom prst="rect">
                      <a:avLst/>
                    </a:prstGeom>
                    <a:noFill/>
                    <a:ln w="9525">
                      <a:noFill/>
                      <a:miter lim="800000"/>
                      <a:headEnd/>
                      <a:tailEnd/>
                    </a:ln>
                  </pic:spPr>
                </pic:pic>
              </a:graphicData>
            </a:graphic>
          </wp:inline>
        </w:drawing>
      </w:r>
    </w:p>
    <w:p w:rsidR="002B7290" w:rsidRDefault="002B7290" w:rsidP="002B7290">
      <w:pPr>
        <w:spacing w:line="360" w:lineRule="auto"/>
        <w:rPr>
          <w:rFonts w:ascii="仿宋" w:eastAsia="仿宋" w:hAnsi="仿宋" w:hint="eastAsia"/>
          <w:color w:val="000000"/>
          <w:sz w:val="28"/>
          <w:szCs w:val="28"/>
        </w:rPr>
      </w:pPr>
    </w:p>
    <w:p w:rsidR="002B7290" w:rsidRDefault="002B7290" w:rsidP="002B7290">
      <w:pPr>
        <w:spacing w:line="360" w:lineRule="auto"/>
        <w:rPr>
          <w:rFonts w:ascii="仿宋" w:eastAsia="仿宋" w:hAnsi="仿宋" w:hint="eastAsia"/>
          <w:color w:val="000000"/>
          <w:sz w:val="28"/>
          <w:szCs w:val="28"/>
        </w:rPr>
      </w:pPr>
    </w:p>
    <w:p w:rsidR="002B7290" w:rsidRDefault="002B7290" w:rsidP="002B7290">
      <w:pPr>
        <w:spacing w:line="360" w:lineRule="auto"/>
        <w:rPr>
          <w:rFonts w:hint="eastAsia"/>
          <w:color w:val="FF0000"/>
          <w:szCs w:val="21"/>
        </w:rPr>
      </w:pPr>
    </w:p>
    <w:p w:rsidR="002B7290" w:rsidRDefault="002B7290" w:rsidP="002B7290">
      <w:pPr>
        <w:spacing w:line="360" w:lineRule="auto"/>
        <w:rPr>
          <w:color w:val="FF0000"/>
          <w:szCs w:val="21"/>
        </w:rPr>
      </w:pPr>
    </w:p>
    <w:p w:rsidR="002B7290" w:rsidRDefault="002B7290" w:rsidP="002B7290">
      <w:pPr>
        <w:spacing w:line="360" w:lineRule="auto"/>
        <w:rPr>
          <w:color w:val="FF0000"/>
          <w:szCs w:val="21"/>
        </w:rPr>
      </w:pPr>
    </w:p>
    <w:p w:rsidR="002B7290" w:rsidRDefault="002B7290" w:rsidP="002B7290">
      <w:pPr>
        <w:spacing w:line="360" w:lineRule="auto"/>
        <w:rPr>
          <w:color w:val="FF0000"/>
          <w:szCs w:val="21"/>
        </w:rPr>
      </w:pPr>
    </w:p>
    <w:p w:rsidR="002B7290" w:rsidRDefault="002B7290" w:rsidP="002B7290">
      <w:pPr>
        <w:spacing w:line="360" w:lineRule="auto"/>
        <w:rPr>
          <w:color w:val="FF0000"/>
          <w:szCs w:val="21"/>
        </w:rPr>
      </w:pPr>
    </w:p>
    <w:p w:rsidR="002B7290" w:rsidRDefault="002B7290" w:rsidP="002B7290">
      <w:pPr>
        <w:spacing w:line="360" w:lineRule="auto"/>
        <w:rPr>
          <w:color w:val="FF0000"/>
          <w:szCs w:val="21"/>
        </w:rPr>
      </w:pPr>
    </w:p>
    <w:p w:rsidR="004210F7" w:rsidRDefault="004210F7"/>
    <w:sectPr w:rsidR="004210F7" w:rsidSect="00D810B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B7290"/>
    <w:rsid w:val="00025347"/>
    <w:rsid w:val="0007219D"/>
    <w:rsid w:val="000A5B6E"/>
    <w:rsid w:val="00106D80"/>
    <w:rsid w:val="0029050F"/>
    <w:rsid w:val="002B7290"/>
    <w:rsid w:val="00311B73"/>
    <w:rsid w:val="004210F7"/>
    <w:rsid w:val="004F1153"/>
    <w:rsid w:val="00600D10"/>
    <w:rsid w:val="00A31A6C"/>
    <w:rsid w:val="00A67346"/>
    <w:rsid w:val="00A939BB"/>
    <w:rsid w:val="00C95CD2"/>
    <w:rsid w:val="00CD62CB"/>
    <w:rsid w:val="00D810B0"/>
    <w:rsid w:val="00F44BD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6">
          <o:proxy start="" idref="#_x0000_s1028" connectloc="3"/>
          <o:proxy end="" idref="#_x0000_s1029" connectloc="1"/>
        </o:r>
        <o:r id="V:Rule2" type="connector" idref="#_x0000_s1038">
          <o:proxy start="" idref="#_x0000_s1030" connectloc="3"/>
          <o:proxy end="" idref="#_x0000_s1031" connectloc="1"/>
        </o:r>
        <o:r id="V:Rule3" type="connector" idref="#_x0000_s1037">
          <o:proxy start="" idref="#_x0000_s1029" connectloc="3"/>
          <o:proxy end="" idref="#_x0000_s1030" connectloc="1"/>
        </o:r>
        <o:r id="V:Rule4" type="connector" idref="#_x0000_s1042">
          <o:proxy start="" idref="#_x0000_s1034" connectloc="3"/>
          <o:proxy end="" idref="#_x0000_s1035" connectloc="1"/>
        </o:r>
        <o:r id="V:Rule5" type="connector" idref="#_x0000_s1054"/>
        <o:r id="V:Rule6" type="connector" idref="#_x0000_s1041">
          <o:proxy start="" idref="#_x0000_s1033" connectloc="3"/>
          <o:proxy end="" idref="#_x0000_s1034" connectloc="1"/>
        </o:r>
        <o:r id="V:Rule7" type="connector" idref="#_x0000_s1055"/>
        <o:r id="V:Rule8" type="connector" idref="#_x0000_s1039">
          <o:proxy start="" idref="#_x0000_s1031" connectloc="3"/>
          <o:proxy end="" idref="#_x0000_s1032" connectloc="1"/>
        </o:r>
        <o:r id="V:Rule9" type="connector" idref="#_x0000_s1040">
          <o:proxy start="" idref="#_x0000_s1032" connectloc="3"/>
          <o:proxy end="" idref="#_x0000_s1033" connectloc="1"/>
        </o:r>
        <o:r id="V:Rule10" type="connector" idref="#_x0000_s1045"/>
        <o:r id="V:Rule11" type="connector" idref="#_x0000_s1057"/>
        <o:r id="V:Rule12" type="connector" idref="#_x0000_s1056"/>
        <o:r id="V:Rule13" type="connector" idref="#_x0000_s1046"/>
        <o:r id="V:Rule14" type="connector" idref="#_x0000_s1058"/>
        <o:r id="V:Rule15" type="connector" idref="#_x0000_s1048"/>
        <o:r id="V:Rule16" type="connector" idref="#_x0000_s1047"/>
        <o:r id="V:Rule17" type="connector" idref="#_x0000_s1059"/>
        <o:r id="V:Rule18" type="connector" idref="#_x0000_s1053"/>
        <o:r id="V:Rule19" type="connector" idref="#_x0000_s1043"/>
        <o:r id="V:Rule20" type="connector" idref="#_x0000_s1052"/>
        <o:r id="V:Rule21" type="connector" idref="#_x0000_s1044"/>
        <o:r id="V:Rule22" type="connector" idref="#_x0000_s1049"/>
        <o:r id="V:Rule23"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7290"/>
    <w:pPr>
      <w:widowControl w:val="0"/>
      <w:jc w:val="both"/>
    </w:pPr>
    <w:rPr>
      <w:rFonts w:ascii="Times New Roman" w:eastAsia="宋体" w:hAnsi="Times New Roman" w:cs="Times New Roman"/>
      <w:szCs w:val="24"/>
    </w:rPr>
  </w:style>
  <w:style w:type="paragraph" w:styleId="2">
    <w:name w:val="heading 2"/>
    <w:aliases w:val="H2,título 2,h2,RN chapter,段,标题4,节标题 1.1,b2,Chapter Title,#.#,ITTHEADER2,1,标题 1.1,Heading 2 Hidden,Heading 2 CCBS,heading 2,第一章 标题 2,ISO1,sect 1.2,L2,Underrubrik1,prop2,UNDERRUBRIK 1-2,Level 2 Topic Heading,2nd level,Titre2,l2,2,Header 2"/>
    <w:basedOn w:val="a"/>
    <w:next w:val="a"/>
    <w:link w:val="2Char"/>
    <w:semiHidden/>
    <w:unhideWhenUsed/>
    <w:qFormat/>
    <w:rsid w:val="002B7290"/>
    <w:pPr>
      <w:keepNext/>
      <w:keepLines/>
      <w:spacing w:before="260" w:after="260" w:line="415" w:lineRule="auto"/>
      <w:outlineLvl w:val="1"/>
    </w:pPr>
    <w:rPr>
      <w:rFonts w:ascii="Cambria" w:hAnsi="Cambria"/>
      <w:b/>
      <w:bCs/>
      <w:kern w:val="0"/>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aliases w:val="H2 Char,título 2 Char,h2 Char,RN chapter Char,段 Char,标题4 Char,节标题 1.1 Char,b2 Char,Chapter Title Char,#.# Char,ITTHEADER2 Char,1 Char,标题 1.1 Char,Heading 2 Hidden Char,Heading 2 CCBS Char,heading 2 Char,第一章 标题 2 Char,ISO1 Char,sect 1.2 Char"/>
    <w:basedOn w:val="a0"/>
    <w:link w:val="2"/>
    <w:semiHidden/>
    <w:rsid w:val="002B7290"/>
    <w:rPr>
      <w:rFonts w:ascii="Cambria" w:eastAsia="宋体" w:hAnsi="Cambria" w:cs="Times New Roman"/>
      <w:b/>
      <w:bCs/>
      <w:kern w:val="0"/>
      <w:sz w:val="32"/>
      <w:szCs w:val="32"/>
      <w:lang/>
    </w:rPr>
  </w:style>
  <w:style w:type="paragraph" w:styleId="a3">
    <w:name w:val="Normal (Web)"/>
    <w:basedOn w:val="a"/>
    <w:semiHidden/>
    <w:unhideWhenUsed/>
    <w:rsid w:val="002B7290"/>
    <w:pPr>
      <w:widowControl/>
      <w:spacing w:before="100" w:beforeAutospacing="1" w:after="100" w:afterAutospacing="1"/>
      <w:jc w:val="left"/>
    </w:pPr>
    <w:rPr>
      <w:rFonts w:ascii="宋体" w:hAnsi="宋体" w:cs="宋体"/>
      <w:kern w:val="0"/>
      <w:sz w:val="24"/>
    </w:rPr>
  </w:style>
  <w:style w:type="character" w:customStyle="1" w:styleId="CharChar">
    <w:name w:val="审核报告正文小四 Char Char"/>
    <w:link w:val="a4"/>
    <w:locked/>
    <w:rsid w:val="002B7290"/>
    <w:rPr>
      <w:sz w:val="24"/>
    </w:rPr>
  </w:style>
  <w:style w:type="paragraph" w:customStyle="1" w:styleId="a4">
    <w:name w:val="审核报告正文小四"/>
    <w:basedOn w:val="a"/>
    <w:link w:val="CharChar"/>
    <w:rsid w:val="002B7290"/>
    <w:pPr>
      <w:spacing w:beforeLines="50" w:line="440" w:lineRule="exact"/>
      <w:ind w:firstLineChars="200" w:firstLine="200"/>
    </w:pPr>
    <w:rPr>
      <w:rFonts w:asciiTheme="minorHAnsi" w:eastAsiaTheme="minorEastAsia" w:hAnsiTheme="minorHAnsi" w:cstheme="minorBidi"/>
      <w:sz w:val="24"/>
      <w:szCs w:val="22"/>
    </w:rPr>
  </w:style>
  <w:style w:type="character" w:styleId="a5">
    <w:name w:val="Hyperlink"/>
    <w:basedOn w:val="a0"/>
    <w:uiPriority w:val="99"/>
    <w:semiHidden/>
    <w:unhideWhenUsed/>
    <w:rsid w:val="002B7290"/>
    <w:rPr>
      <w:color w:val="0000FF"/>
      <w:u w:val="single"/>
    </w:rPr>
  </w:style>
  <w:style w:type="paragraph" w:styleId="a6">
    <w:name w:val="Balloon Text"/>
    <w:basedOn w:val="a"/>
    <w:link w:val="Char"/>
    <w:uiPriority w:val="99"/>
    <w:semiHidden/>
    <w:unhideWhenUsed/>
    <w:rsid w:val="002B7290"/>
    <w:rPr>
      <w:sz w:val="18"/>
      <w:szCs w:val="18"/>
    </w:rPr>
  </w:style>
  <w:style w:type="character" w:customStyle="1" w:styleId="Char">
    <w:name w:val="批注框文本 Char"/>
    <w:basedOn w:val="a0"/>
    <w:link w:val="a6"/>
    <w:uiPriority w:val="99"/>
    <w:semiHidden/>
    <w:rsid w:val="002B7290"/>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04950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www.baidu.com/link?url=F-cbXHstua3U_UqlQ7F2tRwoDSbXQrKgNIOFcZorHN8JS4wCjdNN_m6REFbhZg7T" TargetMode="Externa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277</Words>
  <Characters>1583</Characters>
  <Application>Microsoft Office Word</Application>
  <DocSecurity>0</DocSecurity>
  <Lines>13</Lines>
  <Paragraphs>3</Paragraphs>
  <ScaleCrop>false</ScaleCrop>
  <Company/>
  <LinksUpToDate>false</LinksUpToDate>
  <CharactersWithSpaces>1857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肖巧清</dc:creator>
  <cp:lastModifiedBy>肖巧清</cp:lastModifiedBy>
  <cp:revision>1</cp:revision>
  <dcterms:created xsi:type="dcterms:W3CDTF">2018-09-10T03:18:00Z</dcterms:created>
  <dcterms:modified xsi:type="dcterms:W3CDTF">2018-09-10T03:24:00Z</dcterms:modified>
</cp:coreProperties>
</file>