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4"/>
        </w:rPr>
      </w:pPr>
      <w:bookmarkStart w:id="0" w:name="_GoBack"/>
      <w:r>
        <w:rPr>
          <w:rFonts w:hint="eastAsia" w:ascii="仿宋_GB2312" w:eastAsia="仿宋_GB2312"/>
          <w:sz w:val="24"/>
        </w:rPr>
        <w:t>附件1：</w:t>
      </w:r>
    </w:p>
    <w:bookmarkEnd w:id="0"/>
    <w:p>
      <w:pPr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2016年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度</w:t>
      </w:r>
      <w:r>
        <w:rPr>
          <w:rFonts w:hint="eastAsia" w:ascii="宋体" w:hAnsi="宋体"/>
          <w:b/>
          <w:bCs/>
          <w:sz w:val="32"/>
        </w:rPr>
        <w:t>质量检验员培训班培训内容</w:t>
      </w:r>
    </w:p>
    <w:p>
      <w:pPr>
        <w:jc w:val="center"/>
        <w:rPr>
          <w:rFonts w:hint="eastAsia" w:ascii="宋体" w:hAnsi="宋体"/>
          <w:sz w:val="18"/>
          <w:szCs w:val="18"/>
        </w:rPr>
      </w:pPr>
    </w:p>
    <w:tbl>
      <w:tblPr>
        <w:tblStyle w:val="3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283"/>
        <w:gridCol w:w="5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288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实操培训内容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每期培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训人数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培训时间</w:t>
            </w:r>
          </w:p>
        </w:tc>
        <w:tc>
          <w:tcPr>
            <w:tcW w:w="57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中药检验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4人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全脱产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2个月</w:t>
            </w:r>
          </w:p>
        </w:tc>
        <w:tc>
          <w:tcPr>
            <w:tcW w:w="5737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1、常用中成药、中药材检验方法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737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2、常用检验仪器的基本操作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737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3、检验记录和检验报告书写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化学药品检验（含抗生素、生化药品）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4人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全脱产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2个月</w:t>
            </w:r>
          </w:p>
        </w:tc>
        <w:tc>
          <w:tcPr>
            <w:tcW w:w="5737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1、常用化学药品检验方法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737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2、常用检验仪器的基本操作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737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3、检验记录和检验报告书写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保健品、化妆品检验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2人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全脱产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2个月</w:t>
            </w:r>
          </w:p>
        </w:tc>
        <w:tc>
          <w:tcPr>
            <w:tcW w:w="5737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1、常用保健食品、化妆品检验方法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737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2、常用检验仪器的基本操作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737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3、检验记录和检验报告书写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药理毒理检验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2人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全脱产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2个月</w:t>
            </w:r>
          </w:p>
        </w:tc>
        <w:tc>
          <w:tcPr>
            <w:tcW w:w="573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1、常用药品药理毒理检验方法及检验仪器的使用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①热原检查法 ②异常毒性检查法 ③细菌内毒素限度检查法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737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2、常用检验仪器的基本操作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737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3、检验记录书写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微生物检验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2人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全脱产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2个月</w:t>
            </w:r>
          </w:p>
        </w:tc>
        <w:tc>
          <w:tcPr>
            <w:tcW w:w="5737" w:type="dxa"/>
            <w:vAlign w:val="center"/>
          </w:tcPr>
          <w:p>
            <w:pPr>
              <w:ind w:left="210" w:hanging="210" w:hanging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1、微生物限度检查、无菌检查常规检验及方法学验证的基本原理、实验操作、数据处理、结果判断及检验仪器的使用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737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2、常用检验仪器的基本操作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737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3、检验记录和检验报告书写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医疗器械检验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4人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全脱产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2个月</w:t>
            </w:r>
          </w:p>
        </w:tc>
        <w:tc>
          <w:tcPr>
            <w:tcW w:w="5737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1、医疗器械化学性能及微生物、无菌检验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737" w:type="dxa"/>
            <w:vAlign w:val="center"/>
          </w:tcPr>
          <w:p>
            <w:pPr>
              <w:ind w:left="210" w:hanging="210" w:hanging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2、常用检验仪器的基本操作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737" w:type="dxa"/>
            <w:vAlign w:val="center"/>
          </w:tcPr>
          <w:p>
            <w:pPr>
              <w:ind w:left="210" w:hanging="210" w:hanging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3、检验记录和检验报告书写</w:t>
            </w:r>
          </w:p>
        </w:tc>
      </w:tr>
    </w:tbl>
    <w:p>
      <w:pPr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F1A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赵健</cp:lastModifiedBy>
  <dcterms:modified xsi:type="dcterms:W3CDTF">2016-03-29T05:59:48Z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