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70" w:rsidRDefault="0079188F" w:rsidP="004B788F">
      <w:pPr>
        <w:jc w:val="center"/>
        <w:rPr>
          <w:b/>
          <w:sz w:val="32"/>
          <w:szCs w:val="32"/>
        </w:rPr>
      </w:pPr>
      <w:r w:rsidRPr="0079188F">
        <w:rPr>
          <w:rFonts w:hint="eastAsia"/>
          <w:b/>
          <w:sz w:val="32"/>
          <w:szCs w:val="32"/>
        </w:rPr>
        <w:t>本单位原检，外单位复验</w:t>
      </w:r>
      <w:r w:rsidRPr="0079188F">
        <w:rPr>
          <w:rFonts w:hint="eastAsia"/>
          <w:b/>
          <w:sz w:val="32"/>
          <w:szCs w:val="32"/>
        </w:rPr>
        <w:t>/</w:t>
      </w:r>
      <w:r w:rsidRPr="0079188F">
        <w:rPr>
          <w:rFonts w:hint="eastAsia"/>
          <w:b/>
          <w:sz w:val="32"/>
          <w:szCs w:val="32"/>
        </w:rPr>
        <w:t>复检</w:t>
      </w:r>
    </w:p>
    <w:p w:rsidR="0032271E" w:rsidRPr="008240C8" w:rsidRDefault="0079188F" w:rsidP="004B788F">
      <w:pPr>
        <w:jc w:val="center"/>
        <w:rPr>
          <w:b/>
          <w:sz w:val="32"/>
          <w:szCs w:val="32"/>
        </w:rPr>
      </w:pPr>
      <w:bookmarkStart w:id="0" w:name="_GoBack"/>
      <w:bookmarkEnd w:id="0"/>
      <w:r w:rsidRPr="0079188F">
        <w:rPr>
          <w:rFonts w:hint="eastAsia"/>
          <w:b/>
          <w:sz w:val="32"/>
          <w:szCs w:val="32"/>
        </w:rPr>
        <w:t>（药品、化妆品、医疗器械）</w:t>
      </w:r>
      <w:r w:rsidR="004B788F" w:rsidRPr="008240C8">
        <w:rPr>
          <w:b/>
          <w:sz w:val="32"/>
          <w:szCs w:val="32"/>
        </w:rPr>
        <w:t>流程</w:t>
      </w:r>
    </w:p>
    <w:p w:rsidR="00E74AC0" w:rsidRDefault="00E74AC0">
      <w:pPr>
        <w:rPr>
          <w:sz w:val="24"/>
          <w:szCs w:val="24"/>
        </w:rPr>
      </w:pPr>
    </w:p>
    <w:p w:rsidR="00E74AC0" w:rsidRPr="00E74AC0" w:rsidRDefault="00E74AC0">
      <w:pPr>
        <w:rPr>
          <w:sz w:val="24"/>
          <w:szCs w:val="24"/>
        </w:rPr>
      </w:pPr>
      <w:r>
        <w:rPr>
          <w:rFonts w:hint="eastAsia"/>
          <w:noProof/>
          <w:sz w:val="24"/>
          <w:szCs w:val="24"/>
        </w:rPr>
        <w:drawing>
          <wp:inline distT="0" distB="0" distL="0" distR="0">
            <wp:extent cx="5275639" cy="6709144"/>
            <wp:effectExtent l="19050" t="0" r="20261" b="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E74AC0" w:rsidRPr="00E74AC0" w:rsidSect="001D0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9A" w:rsidRDefault="00D2519A" w:rsidP="00E74AC0">
      <w:r>
        <w:separator/>
      </w:r>
    </w:p>
  </w:endnote>
  <w:endnote w:type="continuationSeparator" w:id="0">
    <w:p w:rsidR="00D2519A" w:rsidRDefault="00D2519A" w:rsidP="00E74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9A" w:rsidRDefault="00D2519A" w:rsidP="00E74AC0">
      <w:r>
        <w:separator/>
      </w:r>
    </w:p>
  </w:footnote>
  <w:footnote w:type="continuationSeparator" w:id="0">
    <w:p w:rsidR="00D2519A" w:rsidRDefault="00D2519A" w:rsidP="00E74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856"/>
    <w:multiLevelType w:val="hybridMultilevel"/>
    <w:tmpl w:val="6E04F720"/>
    <w:lvl w:ilvl="0" w:tplc="0AD03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E62B4"/>
    <w:multiLevelType w:val="hybridMultilevel"/>
    <w:tmpl w:val="11F2CC88"/>
    <w:lvl w:ilvl="0" w:tplc="8B6C47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ECF6D31"/>
    <w:multiLevelType w:val="hybridMultilevel"/>
    <w:tmpl w:val="6158F3FE"/>
    <w:lvl w:ilvl="0" w:tplc="D97AE088">
      <w:start w:val="1"/>
      <w:numFmt w:val="decimal"/>
      <w:lvlText w:val="%1."/>
      <w:lvlJc w:val="left"/>
      <w:pPr>
        <w:ind w:left="720" w:hanging="360"/>
      </w:pPr>
      <w:rPr>
        <w:rFonts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E04D1C"/>
    <w:multiLevelType w:val="hybridMultilevel"/>
    <w:tmpl w:val="E7F07644"/>
    <w:lvl w:ilvl="0" w:tplc="7DC68B00">
      <w:start w:val="1"/>
      <w:numFmt w:val="bullet"/>
      <w:lvlText w:val="•"/>
      <w:lvlJc w:val="left"/>
      <w:pPr>
        <w:tabs>
          <w:tab w:val="num" w:pos="720"/>
        </w:tabs>
        <w:ind w:left="720" w:hanging="360"/>
      </w:pPr>
      <w:rPr>
        <w:rFonts w:ascii="宋体" w:hAnsi="宋体" w:hint="default"/>
      </w:rPr>
    </w:lvl>
    <w:lvl w:ilvl="1" w:tplc="1262A49E" w:tentative="1">
      <w:start w:val="1"/>
      <w:numFmt w:val="bullet"/>
      <w:lvlText w:val="•"/>
      <w:lvlJc w:val="left"/>
      <w:pPr>
        <w:tabs>
          <w:tab w:val="num" w:pos="1440"/>
        </w:tabs>
        <w:ind w:left="1440" w:hanging="360"/>
      </w:pPr>
      <w:rPr>
        <w:rFonts w:ascii="宋体" w:hAnsi="宋体" w:hint="default"/>
      </w:rPr>
    </w:lvl>
    <w:lvl w:ilvl="2" w:tplc="B3FA2402" w:tentative="1">
      <w:start w:val="1"/>
      <w:numFmt w:val="bullet"/>
      <w:lvlText w:val="•"/>
      <w:lvlJc w:val="left"/>
      <w:pPr>
        <w:tabs>
          <w:tab w:val="num" w:pos="2160"/>
        </w:tabs>
        <w:ind w:left="2160" w:hanging="360"/>
      </w:pPr>
      <w:rPr>
        <w:rFonts w:ascii="宋体" w:hAnsi="宋体" w:hint="default"/>
      </w:rPr>
    </w:lvl>
    <w:lvl w:ilvl="3" w:tplc="C994EE72" w:tentative="1">
      <w:start w:val="1"/>
      <w:numFmt w:val="bullet"/>
      <w:lvlText w:val="•"/>
      <w:lvlJc w:val="left"/>
      <w:pPr>
        <w:tabs>
          <w:tab w:val="num" w:pos="2880"/>
        </w:tabs>
        <w:ind w:left="2880" w:hanging="360"/>
      </w:pPr>
      <w:rPr>
        <w:rFonts w:ascii="宋体" w:hAnsi="宋体" w:hint="default"/>
      </w:rPr>
    </w:lvl>
    <w:lvl w:ilvl="4" w:tplc="4B0427A0" w:tentative="1">
      <w:start w:val="1"/>
      <w:numFmt w:val="bullet"/>
      <w:lvlText w:val="•"/>
      <w:lvlJc w:val="left"/>
      <w:pPr>
        <w:tabs>
          <w:tab w:val="num" w:pos="3600"/>
        </w:tabs>
        <w:ind w:left="3600" w:hanging="360"/>
      </w:pPr>
      <w:rPr>
        <w:rFonts w:ascii="宋体" w:hAnsi="宋体" w:hint="default"/>
      </w:rPr>
    </w:lvl>
    <w:lvl w:ilvl="5" w:tplc="84009B60" w:tentative="1">
      <w:start w:val="1"/>
      <w:numFmt w:val="bullet"/>
      <w:lvlText w:val="•"/>
      <w:lvlJc w:val="left"/>
      <w:pPr>
        <w:tabs>
          <w:tab w:val="num" w:pos="4320"/>
        </w:tabs>
        <w:ind w:left="4320" w:hanging="360"/>
      </w:pPr>
      <w:rPr>
        <w:rFonts w:ascii="宋体" w:hAnsi="宋体" w:hint="default"/>
      </w:rPr>
    </w:lvl>
    <w:lvl w:ilvl="6" w:tplc="45949F24" w:tentative="1">
      <w:start w:val="1"/>
      <w:numFmt w:val="bullet"/>
      <w:lvlText w:val="•"/>
      <w:lvlJc w:val="left"/>
      <w:pPr>
        <w:tabs>
          <w:tab w:val="num" w:pos="5040"/>
        </w:tabs>
        <w:ind w:left="5040" w:hanging="360"/>
      </w:pPr>
      <w:rPr>
        <w:rFonts w:ascii="宋体" w:hAnsi="宋体" w:hint="default"/>
      </w:rPr>
    </w:lvl>
    <w:lvl w:ilvl="7" w:tplc="C8944DBE" w:tentative="1">
      <w:start w:val="1"/>
      <w:numFmt w:val="bullet"/>
      <w:lvlText w:val="•"/>
      <w:lvlJc w:val="left"/>
      <w:pPr>
        <w:tabs>
          <w:tab w:val="num" w:pos="5760"/>
        </w:tabs>
        <w:ind w:left="5760" w:hanging="360"/>
      </w:pPr>
      <w:rPr>
        <w:rFonts w:ascii="宋体" w:hAnsi="宋体" w:hint="default"/>
      </w:rPr>
    </w:lvl>
    <w:lvl w:ilvl="8" w:tplc="C8C82636" w:tentative="1">
      <w:start w:val="1"/>
      <w:numFmt w:val="bullet"/>
      <w:lvlText w:val="•"/>
      <w:lvlJc w:val="left"/>
      <w:pPr>
        <w:tabs>
          <w:tab w:val="num" w:pos="6480"/>
        </w:tabs>
        <w:ind w:left="6480" w:hanging="360"/>
      </w:pPr>
      <w:rPr>
        <w:rFonts w:ascii="宋体" w:hAnsi="宋体"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612"/>
    <w:rsid w:val="00030076"/>
    <w:rsid w:val="0004712D"/>
    <w:rsid w:val="000509F1"/>
    <w:rsid w:val="00050CBC"/>
    <w:rsid w:val="000517C8"/>
    <w:rsid w:val="000B71CA"/>
    <w:rsid w:val="000D4A54"/>
    <w:rsid w:val="000D7D67"/>
    <w:rsid w:val="000F1655"/>
    <w:rsid w:val="0010791A"/>
    <w:rsid w:val="001125BD"/>
    <w:rsid w:val="00130243"/>
    <w:rsid w:val="00167C84"/>
    <w:rsid w:val="00167FDB"/>
    <w:rsid w:val="00180AAE"/>
    <w:rsid w:val="001D0459"/>
    <w:rsid w:val="001E1707"/>
    <w:rsid w:val="00203711"/>
    <w:rsid w:val="00211009"/>
    <w:rsid w:val="00213654"/>
    <w:rsid w:val="0021680F"/>
    <w:rsid w:val="00217068"/>
    <w:rsid w:val="00226AE6"/>
    <w:rsid w:val="0025278B"/>
    <w:rsid w:val="002A5780"/>
    <w:rsid w:val="002E56AC"/>
    <w:rsid w:val="0032271E"/>
    <w:rsid w:val="003254A1"/>
    <w:rsid w:val="00332C65"/>
    <w:rsid w:val="003336BB"/>
    <w:rsid w:val="0035466D"/>
    <w:rsid w:val="0036653A"/>
    <w:rsid w:val="00367DE0"/>
    <w:rsid w:val="00387DDF"/>
    <w:rsid w:val="00392D19"/>
    <w:rsid w:val="003A064E"/>
    <w:rsid w:val="003B05D7"/>
    <w:rsid w:val="003C36EC"/>
    <w:rsid w:val="003C4890"/>
    <w:rsid w:val="003E057B"/>
    <w:rsid w:val="003F4490"/>
    <w:rsid w:val="00465090"/>
    <w:rsid w:val="00485976"/>
    <w:rsid w:val="004B125A"/>
    <w:rsid w:val="004B788F"/>
    <w:rsid w:val="004D0E3D"/>
    <w:rsid w:val="00502398"/>
    <w:rsid w:val="0051222D"/>
    <w:rsid w:val="00523E6A"/>
    <w:rsid w:val="00532370"/>
    <w:rsid w:val="005C3FCF"/>
    <w:rsid w:val="005E7DC9"/>
    <w:rsid w:val="00644D5F"/>
    <w:rsid w:val="006711F9"/>
    <w:rsid w:val="006B1ABD"/>
    <w:rsid w:val="006C62DB"/>
    <w:rsid w:val="006D3877"/>
    <w:rsid w:val="006F0830"/>
    <w:rsid w:val="006F2560"/>
    <w:rsid w:val="00714CDE"/>
    <w:rsid w:val="00751EE5"/>
    <w:rsid w:val="00756150"/>
    <w:rsid w:val="00766D34"/>
    <w:rsid w:val="00772A46"/>
    <w:rsid w:val="0079188F"/>
    <w:rsid w:val="007A7126"/>
    <w:rsid w:val="007C4612"/>
    <w:rsid w:val="007D34A2"/>
    <w:rsid w:val="00800119"/>
    <w:rsid w:val="00817ED2"/>
    <w:rsid w:val="008240C8"/>
    <w:rsid w:val="008461DF"/>
    <w:rsid w:val="00864F5D"/>
    <w:rsid w:val="008670AA"/>
    <w:rsid w:val="00873A05"/>
    <w:rsid w:val="0087405D"/>
    <w:rsid w:val="008D235A"/>
    <w:rsid w:val="008E5D6E"/>
    <w:rsid w:val="0091303E"/>
    <w:rsid w:val="00996641"/>
    <w:rsid w:val="009C0604"/>
    <w:rsid w:val="009C7D9F"/>
    <w:rsid w:val="00A44381"/>
    <w:rsid w:val="00A47ACD"/>
    <w:rsid w:val="00A50711"/>
    <w:rsid w:val="00A6555C"/>
    <w:rsid w:val="00AA25EE"/>
    <w:rsid w:val="00AB0944"/>
    <w:rsid w:val="00AC4C7F"/>
    <w:rsid w:val="00AE5CB3"/>
    <w:rsid w:val="00AF6690"/>
    <w:rsid w:val="00B00650"/>
    <w:rsid w:val="00B048DE"/>
    <w:rsid w:val="00B21811"/>
    <w:rsid w:val="00B449C5"/>
    <w:rsid w:val="00B55E58"/>
    <w:rsid w:val="00B90DF3"/>
    <w:rsid w:val="00BB7866"/>
    <w:rsid w:val="00BC5077"/>
    <w:rsid w:val="00BE44CE"/>
    <w:rsid w:val="00C007F0"/>
    <w:rsid w:val="00C26954"/>
    <w:rsid w:val="00C47D4D"/>
    <w:rsid w:val="00CB6024"/>
    <w:rsid w:val="00CC3260"/>
    <w:rsid w:val="00CC7627"/>
    <w:rsid w:val="00CD032E"/>
    <w:rsid w:val="00CD09C5"/>
    <w:rsid w:val="00CF1AC0"/>
    <w:rsid w:val="00D0530F"/>
    <w:rsid w:val="00D2519A"/>
    <w:rsid w:val="00D44D8F"/>
    <w:rsid w:val="00D536A6"/>
    <w:rsid w:val="00D548E5"/>
    <w:rsid w:val="00D73D7E"/>
    <w:rsid w:val="00D76AE5"/>
    <w:rsid w:val="00D7743B"/>
    <w:rsid w:val="00D87538"/>
    <w:rsid w:val="00D91D4D"/>
    <w:rsid w:val="00DD0A79"/>
    <w:rsid w:val="00DD6872"/>
    <w:rsid w:val="00E65135"/>
    <w:rsid w:val="00E74AC0"/>
    <w:rsid w:val="00E855E1"/>
    <w:rsid w:val="00EC2102"/>
    <w:rsid w:val="00EC6D88"/>
    <w:rsid w:val="00ED2FBC"/>
    <w:rsid w:val="00EE66FD"/>
    <w:rsid w:val="00EF7CCD"/>
    <w:rsid w:val="00F146F1"/>
    <w:rsid w:val="00F14C69"/>
    <w:rsid w:val="00F35C55"/>
    <w:rsid w:val="00F371BA"/>
    <w:rsid w:val="00F6098E"/>
    <w:rsid w:val="00F74FA8"/>
    <w:rsid w:val="00F76BEE"/>
    <w:rsid w:val="00F872DA"/>
    <w:rsid w:val="00FA4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AC0"/>
    <w:rPr>
      <w:sz w:val="18"/>
      <w:szCs w:val="18"/>
    </w:rPr>
  </w:style>
  <w:style w:type="paragraph" w:styleId="a4">
    <w:name w:val="footer"/>
    <w:basedOn w:val="a"/>
    <w:link w:val="Char0"/>
    <w:uiPriority w:val="99"/>
    <w:unhideWhenUsed/>
    <w:rsid w:val="00E74AC0"/>
    <w:pPr>
      <w:tabs>
        <w:tab w:val="center" w:pos="4153"/>
        <w:tab w:val="right" w:pos="8306"/>
      </w:tabs>
      <w:snapToGrid w:val="0"/>
      <w:jc w:val="left"/>
    </w:pPr>
    <w:rPr>
      <w:sz w:val="18"/>
      <w:szCs w:val="18"/>
    </w:rPr>
  </w:style>
  <w:style w:type="character" w:customStyle="1" w:styleId="Char0">
    <w:name w:val="页脚 Char"/>
    <w:basedOn w:val="a0"/>
    <w:link w:val="a4"/>
    <w:uiPriority w:val="99"/>
    <w:rsid w:val="00E74AC0"/>
    <w:rPr>
      <w:sz w:val="18"/>
      <w:szCs w:val="18"/>
    </w:rPr>
  </w:style>
  <w:style w:type="paragraph" w:styleId="a5">
    <w:name w:val="List Paragraph"/>
    <w:basedOn w:val="a"/>
    <w:uiPriority w:val="34"/>
    <w:qFormat/>
    <w:rsid w:val="00EE66FD"/>
    <w:pPr>
      <w:widowControl/>
      <w:ind w:firstLineChars="200" w:firstLine="420"/>
      <w:jc w:val="left"/>
    </w:pPr>
    <w:rPr>
      <w:rFonts w:ascii="宋体" w:eastAsia="宋体" w:hAnsi="宋体" w:cs="宋体"/>
      <w:kern w:val="0"/>
      <w:sz w:val="24"/>
      <w:szCs w:val="24"/>
    </w:rPr>
  </w:style>
  <w:style w:type="paragraph" w:styleId="a6">
    <w:name w:val="Balloon Text"/>
    <w:basedOn w:val="a"/>
    <w:link w:val="Char1"/>
    <w:uiPriority w:val="99"/>
    <w:semiHidden/>
    <w:unhideWhenUsed/>
    <w:rsid w:val="00714CDE"/>
    <w:rPr>
      <w:sz w:val="18"/>
      <w:szCs w:val="18"/>
    </w:rPr>
  </w:style>
  <w:style w:type="character" w:customStyle="1" w:styleId="Char1">
    <w:name w:val="批注框文本 Char"/>
    <w:basedOn w:val="a0"/>
    <w:link w:val="a6"/>
    <w:uiPriority w:val="99"/>
    <w:semiHidden/>
    <w:rsid w:val="00714CDE"/>
    <w:rPr>
      <w:sz w:val="18"/>
      <w:szCs w:val="18"/>
    </w:rPr>
  </w:style>
</w:styles>
</file>

<file path=word/webSettings.xml><?xml version="1.0" encoding="utf-8"?>
<w:webSettings xmlns:r="http://schemas.openxmlformats.org/officeDocument/2006/relationships" xmlns:w="http://schemas.openxmlformats.org/wordprocessingml/2006/main">
  <w:divs>
    <w:div w:id="130832502">
      <w:bodyDiv w:val="1"/>
      <w:marLeft w:val="0"/>
      <w:marRight w:val="0"/>
      <w:marTop w:val="0"/>
      <w:marBottom w:val="0"/>
      <w:divBdr>
        <w:top w:val="none" w:sz="0" w:space="0" w:color="auto"/>
        <w:left w:val="none" w:sz="0" w:space="0" w:color="auto"/>
        <w:bottom w:val="none" w:sz="0" w:space="0" w:color="auto"/>
        <w:right w:val="none" w:sz="0" w:space="0" w:color="auto"/>
      </w:divBdr>
      <w:divsChild>
        <w:div w:id="17633775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C2AEA6-E92E-496F-924C-AB459C05CC7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zh-CN" altLang="en-US"/>
        </a:p>
      </dgm:t>
    </dgm:pt>
    <dgm:pt modelId="{FE9D22DC-D5A5-4ED7-A6F7-C8B88AE9EC7A}">
      <dgm:prSet phldrT="[文本]" custT="1">
        <dgm:style>
          <a:lnRef idx="2">
            <a:schemeClr val="dk1"/>
          </a:lnRef>
          <a:fillRef idx="1">
            <a:schemeClr val="lt1"/>
          </a:fillRef>
          <a:effectRef idx="0">
            <a:schemeClr val="dk1"/>
          </a:effectRef>
          <a:fontRef idx="minor">
            <a:schemeClr val="dk1"/>
          </a:fontRef>
        </dgm:style>
      </dgm:prSet>
      <dgm:spPr/>
      <dgm:t>
        <a:bodyPr/>
        <a:lstStyle/>
        <a:p>
          <a:pPr>
            <a:lnSpc>
              <a:spcPct val="150000"/>
            </a:lnSpc>
          </a:pPr>
          <a:r>
            <a:rPr lang="zh-CN" sz="1400"/>
            <a:t>对本院（中心）</a:t>
          </a:r>
          <a:r>
            <a:rPr lang="zh-CN" sz="1400" b="1"/>
            <a:t>药品</a:t>
          </a:r>
          <a:r>
            <a:rPr lang="zh-CN" sz="1400"/>
            <a:t>的检验结果有异议时，</a:t>
          </a:r>
          <a:r>
            <a:rPr lang="zh-CN" altLang="en-US" sz="1400"/>
            <a:t>也可按照相关法规要求选择上一级或国务院药品监督管理部门设置或者指定的药品检验机构申请复验；对</a:t>
          </a:r>
          <a:r>
            <a:rPr lang="zh-CN" altLang="en-US" sz="1400" b="1"/>
            <a:t>化妆品、医疗器械</a:t>
          </a:r>
          <a:r>
            <a:rPr lang="zh-CN" altLang="en-US" sz="1400"/>
            <a:t>的检验结果有异议时，可按照相关法规要求向实施抽样检验的药品监督管理部门或者其上一级药品监督管理部门申请复检，由受理复检申请的部门在复检机构名录中随机确定复检机构进行复检，复检机构与初检机构不得为同一机构，复检机构名录由国务院药品监督管理部门公布。</a:t>
          </a:r>
          <a:endParaRPr lang="zh-CN" altLang="en-US" sz="1400"/>
        </a:p>
      </dgm:t>
    </dgm:pt>
    <dgm:pt modelId="{596A81B9-2AAE-41FD-B582-CA7462DDB6F4}" type="parTrans" cxnId="{1154AC2E-AE0A-4E0E-B100-162D27CD56CF}">
      <dgm:prSet/>
      <dgm:spPr/>
      <dgm:t>
        <a:bodyPr/>
        <a:lstStyle/>
        <a:p>
          <a:endParaRPr lang="zh-CN" altLang="en-US" sz="1400"/>
        </a:p>
      </dgm:t>
    </dgm:pt>
    <dgm:pt modelId="{905A00A7-FC64-4A82-B849-49181CB0F828}" type="sibTrans" cxnId="{1154AC2E-AE0A-4E0E-B100-162D27CD56CF}">
      <dgm:prSet/>
      <dgm:spPr/>
      <dgm:t>
        <a:bodyPr/>
        <a:lstStyle/>
        <a:p>
          <a:endParaRPr lang="zh-CN" altLang="en-US" sz="1400"/>
        </a:p>
      </dgm:t>
    </dgm:pt>
    <dgm:pt modelId="{125976E1-A2DC-46EF-B127-E0CD2F78804B}">
      <dgm:prSet phldrT="[文本]" custT="1">
        <dgm:style>
          <a:lnRef idx="2">
            <a:schemeClr val="dk1"/>
          </a:lnRef>
          <a:fillRef idx="1">
            <a:schemeClr val="lt1"/>
          </a:fillRef>
          <a:effectRef idx="0">
            <a:schemeClr val="dk1"/>
          </a:effectRef>
          <a:fontRef idx="minor">
            <a:schemeClr val="dk1"/>
          </a:fontRef>
        </dgm:style>
      </dgm:prSet>
      <dgm:spPr/>
      <dgm:t>
        <a:bodyPr/>
        <a:lstStyle/>
        <a:p>
          <a:r>
            <a:rPr lang="zh-CN" altLang="en-US" sz="1400"/>
            <a:t>本院（中心）以复验</a:t>
          </a:r>
          <a:r>
            <a:rPr lang="en-US" altLang="zh-CN" sz="1400"/>
            <a:t>/</a:t>
          </a:r>
          <a:r>
            <a:rPr lang="zh-CN" altLang="en-US" sz="1400"/>
            <a:t>复检机构的正式书面调样函件</a:t>
          </a:r>
          <a:endParaRPr lang="en-US" altLang="zh-CN" sz="1400"/>
        </a:p>
        <a:p>
          <a:r>
            <a:rPr lang="zh-CN" altLang="en-US" sz="1400"/>
            <a:t>给予及时办理调样</a:t>
          </a:r>
        </a:p>
      </dgm:t>
    </dgm:pt>
    <dgm:pt modelId="{410A8630-1E2D-452B-AEC1-0FAF17E1D3F8}" type="parTrans" cxnId="{63FB4523-DA8D-468E-B2D9-89E478C5DFBF}">
      <dgm:prSet/>
      <dgm:spPr/>
      <dgm:t>
        <a:bodyPr/>
        <a:lstStyle/>
        <a:p>
          <a:endParaRPr lang="zh-CN" altLang="en-US" sz="1400"/>
        </a:p>
      </dgm:t>
    </dgm:pt>
    <dgm:pt modelId="{2417F67F-24B3-4D3F-A5F0-7EC09EC209C8}" type="sibTrans" cxnId="{63FB4523-DA8D-468E-B2D9-89E478C5DFBF}">
      <dgm:prSet/>
      <dgm:spPr/>
      <dgm:t>
        <a:bodyPr/>
        <a:lstStyle/>
        <a:p>
          <a:endParaRPr lang="zh-CN" altLang="en-US" sz="1400"/>
        </a:p>
      </dgm:t>
    </dgm:pt>
    <dgm:pt modelId="{86E7CFB9-C4E8-4DF0-B46F-7B186EAA1590}" type="pres">
      <dgm:prSet presAssocID="{4BC2AEA6-E92E-496F-924C-AB459C05CC77}" presName="Name0" presStyleCnt="0">
        <dgm:presLayoutVars>
          <dgm:dir/>
          <dgm:animLvl val="lvl"/>
          <dgm:resizeHandles val="exact"/>
        </dgm:presLayoutVars>
      </dgm:prSet>
      <dgm:spPr/>
      <dgm:t>
        <a:bodyPr/>
        <a:lstStyle/>
        <a:p>
          <a:endParaRPr lang="zh-CN" altLang="en-US"/>
        </a:p>
      </dgm:t>
    </dgm:pt>
    <dgm:pt modelId="{FDF717C8-D86F-4723-B67D-A98A5A5F393D}" type="pres">
      <dgm:prSet presAssocID="{125976E1-A2DC-46EF-B127-E0CD2F78804B}" presName="boxAndChildren" presStyleCnt="0"/>
      <dgm:spPr/>
    </dgm:pt>
    <dgm:pt modelId="{1A689F6F-1B6D-4997-899D-A54EEBC98598}" type="pres">
      <dgm:prSet presAssocID="{125976E1-A2DC-46EF-B127-E0CD2F78804B}" presName="parentTextBox" presStyleLbl="node1" presStyleIdx="0" presStyleCnt="2" custScaleY="55148"/>
      <dgm:spPr/>
      <dgm:t>
        <a:bodyPr/>
        <a:lstStyle/>
        <a:p>
          <a:endParaRPr lang="zh-CN" altLang="en-US"/>
        </a:p>
      </dgm:t>
    </dgm:pt>
    <dgm:pt modelId="{FEBD9F79-E236-4323-AA61-1EBB860F4875}" type="pres">
      <dgm:prSet presAssocID="{905A00A7-FC64-4A82-B849-49181CB0F828}" presName="sp" presStyleCnt="0"/>
      <dgm:spPr/>
    </dgm:pt>
    <dgm:pt modelId="{386C623A-DCDB-46E0-B3B7-224DFD0804E2}" type="pres">
      <dgm:prSet presAssocID="{FE9D22DC-D5A5-4ED7-A6F7-C8B88AE9EC7A}" presName="arrowAndChildren" presStyleCnt="0"/>
      <dgm:spPr/>
    </dgm:pt>
    <dgm:pt modelId="{9272886C-9D9D-40E4-AC73-B08C2073E15F}" type="pres">
      <dgm:prSet presAssocID="{FE9D22DC-D5A5-4ED7-A6F7-C8B88AE9EC7A}" presName="parentTextArrow" presStyleLbl="node1" presStyleIdx="1" presStyleCnt="2"/>
      <dgm:spPr/>
      <dgm:t>
        <a:bodyPr/>
        <a:lstStyle/>
        <a:p>
          <a:endParaRPr lang="zh-CN" altLang="en-US"/>
        </a:p>
      </dgm:t>
    </dgm:pt>
  </dgm:ptLst>
  <dgm:cxnLst>
    <dgm:cxn modelId="{8AAC24BD-6271-4E02-B004-4A8ACF76C957}" type="presOf" srcId="{FE9D22DC-D5A5-4ED7-A6F7-C8B88AE9EC7A}" destId="{9272886C-9D9D-40E4-AC73-B08C2073E15F}" srcOrd="0" destOrd="0" presId="urn:microsoft.com/office/officeart/2005/8/layout/process4"/>
    <dgm:cxn modelId="{1154AC2E-AE0A-4E0E-B100-162D27CD56CF}" srcId="{4BC2AEA6-E92E-496F-924C-AB459C05CC77}" destId="{FE9D22DC-D5A5-4ED7-A6F7-C8B88AE9EC7A}" srcOrd="0" destOrd="0" parTransId="{596A81B9-2AAE-41FD-B582-CA7462DDB6F4}" sibTransId="{905A00A7-FC64-4A82-B849-49181CB0F828}"/>
    <dgm:cxn modelId="{E8B3666A-250B-4340-8B5C-EEC65652D52C}" type="presOf" srcId="{4BC2AEA6-E92E-496F-924C-AB459C05CC77}" destId="{86E7CFB9-C4E8-4DF0-B46F-7B186EAA1590}" srcOrd="0" destOrd="0" presId="urn:microsoft.com/office/officeart/2005/8/layout/process4"/>
    <dgm:cxn modelId="{9854FD25-5ED2-4438-A396-85236205826E}" type="presOf" srcId="{125976E1-A2DC-46EF-B127-E0CD2F78804B}" destId="{1A689F6F-1B6D-4997-899D-A54EEBC98598}" srcOrd="0" destOrd="0" presId="urn:microsoft.com/office/officeart/2005/8/layout/process4"/>
    <dgm:cxn modelId="{63FB4523-DA8D-468E-B2D9-89E478C5DFBF}" srcId="{4BC2AEA6-E92E-496F-924C-AB459C05CC77}" destId="{125976E1-A2DC-46EF-B127-E0CD2F78804B}" srcOrd="1" destOrd="0" parTransId="{410A8630-1E2D-452B-AEC1-0FAF17E1D3F8}" sibTransId="{2417F67F-24B3-4D3F-A5F0-7EC09EC209C8}"/>
    <dgm:cxn modelId="{38D3E3ED-136D-4404-B828-F8F9FFDF5344}" type="presParOf" srcId="{86E7CFB9-C4E8-4DF0-B46F-7B186EAA1590}" destId="{FDF717C8-D86F-4723-B67D-A98A5A5F393D}" srcOrd="0" destOrd="0" presId="urn:microsoft.com/office/officeart/2005/8/layout/process4"/>
    <dgm:cxn modelId="{82164B17-E063-4CCD-A736-736C24A9CF43}" type="presParOf" srcId="{FDF717C8-D86F-4723-B67D-A98A5A5F393D}" destId="{1A689F6F-1B6D-4997-899D-A54EEBC98598}" srcOrd="0" destOrd="0" presId="urn:microsoft.com/office/officeart/2005/8/layout/process4"/>
    <dgm:cxn modelId="{87780FE3-A259-4627-B4CF-0B563BE1917E}" type="presParOf" srcId="{86E7CFB9-C4E8-4DF0-B46F-7B186EAA1590}" destId="{FEBD9F79-E236-4323-AA61-1EBB860F4875}" srcOrd="1" destOrd="0" presId="urn:microsoft.com/office/officeart/2005/8/layout/process4"/>
    <dgm:cxn modelId="{95301F3C-6CCA-41F5-93B8-5EA0E5C447B2}" type="presParOf" srcId="{86E7CFB9-C4E8-4DF0-B46F-7B186EAA1590}" destId="{386C623A-DCDB-46E0-B3B7-224DFD0804E2}" srcOrd="2" destOrd="0" presId="urn:microsoft.com/office/officeart/2005/8/layout/process4"/>
    <dgm:cxn modelId="{D22EB4FA-BA87-473C-BA83-423BAA8D899F}" type="presParOf" srcId="{386C623A-DCDB-46E0-B3B7-224DFD0804E2}" destId="{9272886C-9D9D-40E4-AC73-B08C2073E15F}" srcOrd="0" destOrd="0" presId="urn:microsoft.com/office/officeart/2005/8/layout/process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689F6F-1B6D-4997-899D-A54EEBC98598}">
      <dsp:nvSpPr>
        <dsp:cNvPr id="0" name=""/>
        <dsp:cNvSpPr/>
      </dsp:nvSpPr>
      <dsp:spPr>
        <a:xfrm>
          <a:off x="0" y="4925209"/>
          <a:ext cx="5275639" cy="178313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CN" altLang="en-US" sz="1400" kern="1200"/>
            <a:t>本院（中心）以复验</a:t>
          </a:r>
          <a:r>
            <a:rPr lang="en-US" altLang="zh-CN" sz="1400" kern="1200"/>
            <a:t>/</a:t>
          </a:r>
          <a:r>
            <a:rPr lang="zh-CN" altLang="en-US" sz="1400" kern="1200"/>
            <a:t>复检机构的正式书面调样函件</a:t>
          </a:r>
          <a:endParaRPr lang="en-US" altLang="zh-CN" sz="1400" kern="1200"/>
        </a:p>
        <a:p>
          <a:pPr lvl="0" algn="ctr" defTabSz="622300">
            <a:lnSpc>
              <a:spcPct val="90000"/>
            </a:lnSpc>
            <a:spcBef>
              <a:spcPct val="0"/>
            </a:spcBef>
            <a:spcAft>
              <a:spcPct val="35000"/>
            </a:spcAft>
          </a:pPr>
          <a:r>
            <a:rPr lang="zh-CN" altLang="en-US" sz="1400" kern="1200"/>
            <a:t>给予及时办理调样</a:t>
          </a:r>
        </a:p>
      </dsp:txBody>
      <dsp:txXfrm>
        <a:off x="0" y="4925209"/>
        <a:ext cx="5275639" cy="1783134"/>
      </dsp:txXfrm>
    </dsp:sp>
    <dsp:sp modelId="{9272886C-9D9D-40E4-AC73-B08C2073E15F}">
      <dsp:nvSpPr>
        <dsp:cNvPr id="0" name=""/>
        <dsp:cNvSpPr/>
      </dsp:nvSpPr>
      <dsp:spPr>
        <a:xfrm rot="10800000">
          <a:off x="0" y="799"/>
          <a:ext cx="5275639" cy="4972910"/>
        </a:xfrm>
        <a:prstGeom prst="upArrowCallou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150000"/>
            </a:lnSpc>
            <a:spcBef>
              <a:spcPct val="0"/>
            </a:spcBef>
            <a:spcAft>
              <a:spcPct val="35000"/>
            </a:spcAft>
          </a:pPr>
          <a:r>
            <a:rPr lang="zh-CN" sz="1400" kern="1200"/>
            <a:t>对本院（中心）</a:t>
          </a:r>
          <a:r>
            <a:rPr lang="zh-CN" sz="1400" b="1" kern="1200"/>
            <a:t>药品</a:t>
          </a:r>
          <a:r>
            <a:rPr lang="zh-CN" sz="1400" kern="1200"/>
            <a:t>的检验结果有异议时，</a:t>
          </a:r>
          <a:r>
            <a:rPr lang="zh-CN" altLang="en-US" sz="1400" kern="1200"/>
            <a:t>也可按照相关法规要求选择上一级或国务院药品监督管理部门设置或者指定的药品检验机构申请复验；对</a:t>
          </a:r>
          <a:r>
            <a:rPr lang="zh-CN" altLang="en-US" sz="1400" b="1" kern="1200"/>
            <a:t>化妆品、医疗器械</a:t>
          </a:r>
          <a:r>
            <a:rPr lang="zh-CN" altLang="en-US" sz="1400" kern="1200"/>
            <a:t>的检验结果有异议时，可按照相关法规要求向实施抽样检验的药品监督管理部门或者其上一级药品监督管理部门申请复检，由受理复检申请的部门在复检机构名录中随机确定复检机构进行复检，复检机构与初检机构不得为同一机构，复检机构名录由国务院药品监督管理部门公布。</a:t>
          </a:r>
          <a:endParaRPr lang="zh-CN" altLang="en-US" sz="1400" kern="1200"/>
        </a:p>
      </dsp:txBody>
      <dsp:txXfrm rot="10800000">
        <a:off x="0" y="799"/>
        <a:ext cx="5275639" cy="49729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Words>
  <Characters>29</Characters>
  <Application>Microsoft Office Word</Application>
  <DocSecurity>0</DocSecurity>
  <Lines>1</Lines>
  <Paragraphs>1</Paragraphs>
  <ScaleCrop>false</ScaleCrop>
  <Company>Chinese ORG</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冯丰凑</dc:creator>
  <cp:lastModifiedBy>李筱玲</cp:lastModifiedBy>
  <cp:revision>4</cp:revision>
  <cp:lastPrinted>2018-10-31T02:30:00Z</cp:lastPrinted>
  <dcterms:created xsi:type="dcterms:W3CDTF">2019-05-27T02:29:00Z</dcterms:created>
  <dcterms:modified xsi:type="dcterms:W3CDTF">2022-11-28T06:00:00Z</dcterms:modified>
</cp:coreProperties>
</file>